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50" w:rsidRPr="00B40E50" w:rsidRDefault="00B40E50">
      <w:pPr>
        <w:rPr>
          <w:sz w:val="28"/>
          <w:szCs w:val="28"/>
        </w:rPr>
      </w:pPr>
      <w:r w:rsidRPr="00B40E50">
        <w:rPr>
          <w:b/>
          <w:sz w:val="28"/>
          <w:szCs w:val="28"/>
        </w:rPr>
        <w:t>Summary of RDA-related toolkit options for NUL catalogers</w:t>
      </w:r>
    </w:p>
    <w:p w:rsidR="00B40E50" w:rsidRDefault="00B40E50">
      <w:r>
        <w:t>Gary L. Strawn</w:t>
      </w:r>
    </w:p>
    <w:p w:rsidR="00B40E50" w:rsidRDefault="00B40E50">
      <w:r>
        <w:t xml:space="preserve">March </w:t>
      </w:r>
      <w:r w:rsidR="00B973C4">
        <w:t>5</w:t>
      </w:r>
      <w:r>
        <w:t>, 2013</w:t>
      </w:r>
    </w:p>
    <w:p w:rsidR="00B40E50" w:rsidRDefault="00B40E50"/>
    <w:p w:rsidR="00B40E50" w:rsidRPr="00B40E50" w:rsidRDefault="00B40E50"/>
    <w:p w:rsidR="00262504" w:rsidRDefault="00B40E50" w:rsidP="00F20D09">
      <w:pPr>
        <w:keepNext/>
      </w:pPr>
      <w:r>
        <w:t>Options for the BAM button, "General, pt. 3" tab: Check all 3 boxes in the "RDA 33X fields" frame at lower left.</w:t>
      </w:r>
    </w:p>
    <w:p w:rsidR="00B40E50" w:rsidRDefault="00B40E50" w:rsidP="00F20D09">
      <w:pPr>
        <w:keepNext/>
      </w:pPr>
    </w:p>
    <w:p w:rsidR="00B40E50" w:rsidRDefault="00B40E50">
      <w:r>
        <w:rPr>
          <w:noProof/>
        </w:rPr>
        <w:drawing>
          <wp:inline distT="0" distB="0" distL="0" distR="0">
            <wp:extent cx="2809875" cy="1104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809875" cy="1104900"/>
                    </a:xfrm>
                    <a:prstGeom prst="rect">
                      <a:avLst/>
                    </a:prstGeom>
                    <a:noFill/>
                    <a:ln w="9525">
                      <a:noFill/>
                      <a:miter lim="800000"/>
                      <a:headEnd/>
                      <a:tailEnd/>
                    </a:ln>
                  </pic:spPr>
                </pic:pic>
              </a:graphicData>
            </a:graphic>
          </wp:inline>
        </w:drawing>
      </w:r>
    </w:p>
    <w:p w:rsidR="00B40E50" w:rsidRDefault="00B40E50"/>
    <w:p w:rsidR="00B40E50" w:rsidRDefault="00B40E50" w:rsidP="00F20D09">
      <w:pPr>
        <w:keepNext/>
      </w:pPr>
      <w:r>
        <w:t>Options for the BAM button, "Authority-related" tab, "Get started" sub-tab. Check these three boxes:</w:t>
      </w:r>
    </w:p>
    <w:p w:rsidR="00B40E50" w:rsidRDefault="00B40E50" w:rsidP="00F20D09">
      <w:pPr>
        <w:keepNext/>
      </w:pPr>
    </w:p>
    <w:p w:rsidR="00B40E50" w:rsidRDefault="00100777">
      <w:r>
        <w:rPr>
          <w:noProof/>
        </w:rPr>
        <w:drawing>
          <wp:inline distT="0" distB="0" distL="0" distR="0">
            <wp:extent cx="3676650" cy="942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76650" cy="942975"/>
                    </a:xfrm>
                    <a:prstGeom prst="rect">
                      <a:avLst/>
                    </a:prstGeom>
                    <a:noFill/>
                    <a:ln w="9525">
                      <a:noFill/>
                      <a:miter lim="800000"/>
                      <a:headEnd/>
                      <a:tailEnd/>
                    </a:ln>
                  </pic:spPr>
                </pic:pic>
              </a:graphicData>
            </a:graphic>
          </wp:inline>
        </w:drawing>
      </w:r>
    </w:p>
    <w:p w:rsidR="00B40E50" w:rsidRDefault="00B40E50"/>
    <w:p w:rsidR="00B40E50" w:rsidRDefault="00B40E50" w:rsidP="00F20D09">
      <w:pPr>
        <w:keepNext/>
      </w:pPr>
      <w:r>
        <w:t xml:space="preserve">Options for the BAM button, "Authority-related" tab, "RDA" sub-tab: Check everything at the top except the 336 </w:t>
      </w:r>
      <w:r w:rsidR="00100777">
        <w:t xml:space="preserve">box, </w:t>
      </w:r>
      <w:r>
        <w:t>the 377 box</w:t>
      </w:r>
      <w:r w:rsidR="008F42D5">
        <w:t xml:space="preserve"> for series</w:t>
      </w:r>
      <w:r w:rsidR="00100777">
        <w:t>, and the "Convert 530" box</w:t>
      </w:r>
      <w:r>
        <w:t xml:space="preserve">. </w:t>
      </w:r>
      <w:r w:rsidR="00100777">
        <w:t>At the bottom, c</w:t>
      </w:r>
      <w:r>
        <w:t>heck both boxes to coerce AACR2 records into RDA records.</w:t>
      </w:r>
    </w:p>
    <w:p w:rsidR="00B40E50" w:rsidRDefault="00B40E50" w:rsidP="00F20D09">
      <w:pPr>
        <w:keepNext/>
      </w:pPr>
    </w:p>
    <w:p w:rsidR="00B40E50" w:rsidRDefault="008F42D5">
      <w:r w:rsidRPr="008F42D5">
        <w:rPr>
          <w:noProof/>
        </w:rPr>
        <w:drawing>
          <wp:inline distT="0" distB="0" distL="0" distR="0">
            <wp:extent cx="5943600" cy="3140997"/>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943600" cy="3140997"/>
                    </a:xfrm>
                    <a:prstGeom prst="rect">
                      <a:avLst/>
                    </a:prstGeom>
                    <a:noFill/>
                    <a:ln w="9525">
                      <a:noFill/>
                      <a:miter lim="800000"/>
                      <a:headEnd/>
                      <a:tailEnd/>
                    </a:ln>
                  </pic:spPr>
                </pic:pic>
              </a:graphicData>
            </a:graphic>
          </wp:inline>
        </w:drawing>
      </w:r>
    </w:p>
    <w:p w:rsidR="00B40E50" w:rsidRDefault="00B40E50" w:rsidP="00B40E50">
      <w:pPr>
        <w:keepNext/>
      </w:pPr>
      <w:r>
        <w:lastRenderedPageBreak/>
        <w:t>Options for the BAM button, "Make changes, pt. 2" tab.</w:t>
      </w:r>
    </w:p>
    <w:p w:rsidR="00B40E50" w:rsidRDefault="00B40E50" w:rsidP="00B40E50">
      <w:pPr>
        <w:keepNext/>
      </w:pPr>
    </w:p>
    <w:p w:rsidR="00B40E50" w:rsidRDefault="000F6B99">
      <w:r>
        <w:rPr>
          <w:noProof/>
        </w:rPr>
        <w:drawing>
          <wp:inline distT="0" distB="0" distL="0" distR="0">
            <wp:extent cx="3067050" cy="9429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067050" cy="942975"/>
                    </a:xfrm>
                    <a:prstGeom prst="rect">
                      <a:avLst/>
                    </a:prstGeom>
                    <a:noFill/>
                    <a:ln w="9525">
                      <a:noFill/>
                      <a:miter lim="800000"/>
                      <a:headEnd/>
                      <a:tailEnd/>
                    </a:ln>
                  </pic:spPr>
                </pic:pic>
              </a:graphicData>
            </a:graphic>
          </wp:inline>
        </w:drawing>
      </w:r>
    </w:p>
    <w:p w:rsidR="000F6B99" w:rsidRDefault="000F6B99"/>
    <w:p w:rsidR="000F6B99" w:rsidRDefault="000F6B99" w:rsidP="000F6B99">
      <w:pPr>
        <w:pStyle w:val="ListParagraph"/>
        <w:numPr>
          <w:ilvl w:val="0"/>
          <w:numId w:val="1"/>
        </w:numPr>
      </w:pPr>
      <w:r>
        <w:t>If you wish, check the box to add subfield $e with "author" to all bibliographic 100 fields.</w:t>
      </w:r>
      <w:r w:rsidR="00947DAA">
        <w:t xml:space="preserve"> (Default: not checked)</w:t>
      </w:r>
    </w:p>
    <w:p w:rsidR="000F6B99" w:rsidRDefault="000F6B99" w:rsidP="000F6B99">
      <w:pPr>
        <w:pStyle w:val="ListParagraph"/>
        <w:numPr>
          <w:ilvl w:val="0"/>
          <w:numId w:val="1"/>
        </w:numPr>
      </w:pPr>
      <w:r>
        <w:t>If you wish, check the box to convert 260 fields to 264 fields.</w:t>
      </w:r>
      <w:r w:rsidR="00947DAA">
        <w:t xml:space="preserve"> (Default: not checked.)</w:t>
      </w:r>
    </w:p>
    <w:p w:rsidR="000F6B99" w:rsidRDefault="000F6B99" w:rsidP="000F6B99">
      <w:pPr>
        <w:pStyle w:val="ListParagraph"/>
        <w:numPr>
          <w:ilvl w:val="0"/>
          <w:numId w:val="1"/>
        </w:numPr>
      </w:pPr>
      <w:r>
        <w:t>Always check the box to add subfield codes to 502 fields.</w:t>
      </w:r>
      <w:r w:rsidR="00947DAA">
        <w:t xml:space="preserve"> (Default: checked.)</w:t>
      </w:r>
    </w:p>
    <w:p w:rsidR="00B40E50" w:rsidRDefault="00B40E50"/>
    <w:p w:rsidR="00B40E50" w:rsidRDefault="00B40E50" w:rsidP="00F20D09">
      <w:pPr>
        <w:keepNext/>
      </w:pPr>
      <w:r>
        <w:t xml:space="preserve">Options for the BAM button, "Make changes, pt. 2" tab: </w:t>
      </w:r>
      <w:r w:rsidR="008F42D5">
        <w:t>In the "Linking fields" frame, check the "Add local Voyager number in $w if possible" box.</w:t>
      </w:r>
    </w:p>
    <w:p w:rsidR="00B40E50" w:rsidRDefault="00B40E50" w:rsidP="00F20D09">
      <w:pPr>
        <w:keepNext/>
      </w:pPr>
    </w:p>
    <w:p w:rsidR="00B40E50" w:rsidRDefault="008F42D5">
      <w:r>
        <w:rPr>
          <w:noProof/>
        </w:rPr>
        <w:drawing>
          <wp:inline distT="0" distB="0" distL="0" distR="0">
            <wp:extent cx="3105150" cy="13525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105150" cy="1352550"/>
                    </a:xfrm>
                    <a:prstGeom prst="rect">
                      <a:avLst/>
                    </a:prstGeom>
                    <a:noFill/>
                    <a:ln w="9525">
                      <a:noFill/>
                      <a:miter lim="800000"/>
                      <a:headEnd/>
                      <a:tailEnd/>
                    </a:ln>
                  </pic:spPr>
                </pic:pic>
              </a:graphicData>
            </a:graphic>
          </wp:inline>
        </w:drawing>
      </w:r>
    </w:p>
    <w:p w:rsidR="00B40E50" w:rsidRDefault="00B40E50"/>
    <w:p w:rsidR="00B40E50" w:rsidRDefault="008F42D5" w:rsidP="00F20D09">
      <w:pPr>
        <w:keepNext/>
      </w:pPr>
      <w:r>
        <w:lastRenderedPageBreak/>
        <w:t xml:space="preserve">Click the button to see linking field options. </w:t>
      </w:r>
      <w:r w:rsidR="00F20D09">
        <w:t xml:space="preserve">In </w:t>
      </w:r>
      <w:r w:rsidR="00AF2D77">
        <w:t xml:space="preserve">the </w:t>
      </w:r>
      <w:r w:rsidR="00B40E50">
        <w:t xml:space="preserve">options </w:t>
      </w:r>
      <w:r w:rsidR="00AF2D77">
        <w:t xml:space="preserve">panel </w:t>
      </w:r>
      <w:r w:rsidR="00F20D09">
        <w:t>that you see when you click this button</w:t>
      </w:r>
      <w:r w:rsidR="00B40E50">
        <w:t xml:space="preserve">, make sure that the box for subfield $7 is </w:t>
      </w:r>
      <w:r w:rsidR="00B40E50">
        <w:rPr>
          <w:i/>
        </w:rPr>
        <w:t>not</w:t>
      </w:r>
      <w:r w:rsidR="00B40E50">
        <w:t xml:space="preserve"> checked for both serials and non-serials.</w:t>
      </w:r>
    </w:p>
    <w:p w:rsidR="00B40E50" w:rsidRDefault="00B40E50" w:rsidP="00F20D09">
      <w:pPr>
        <w:keepNext/>
      </w:pPr>
    </w:p>
    <w:p w:rsidR="00B40E50" w:rsidRDefault="008F42D5">
      <w:r>
        <w:rPr>
          <w:noProof/>
        </w:rPr>
        <w:drawing>
          <wp:inline distT="0" distB="0" distL="0" distR="0">
            <wp:extent cx="5943600" cy="3980505"/>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943600" cy="3980505"/>
                    </a:xfrm>
                    <a:prstGeom prst="rect">
                      <a:avLst/>
                    </a:prstGeom>
                    <a:noFill/>
                    <a:ln w="9525">
                      <a:noFill/>
                      <a:miter lim="800000"/>
                      <a:headEnd/>
                      <a:tailEnd/>
                    </a:ln>
                  </pic:spPr>
                </pic:pic>
              </a:graphicData>
            </a:graphic>
          </wp:inline>
        </w:drawing>
      </w:r>
    </w:p>
    <w:p w:rsidR="00B40E50" w:rsidRDefault="00B40E50"/>
    <w:p w:rsidR="006C7FEF" w:rsidRPr="00F20D09" w:rsidRDefault="006C7FEF" w:rsidP="0098019A">
      <w:pPr>
        <w:keepNext/>
        <w:rPr>
          <w:b/>
        </w:rPr>
      </w:pPr>
      <w:r>
        <w:t xml:space="preserve">Options for the BAM button, "Make changes, pt. 3" tab: Check all of the boxes in </w:t>
      </w:r>
      <w:r w:rsidR="00AF2D77">
        <w:t xml:space="preserve">the "Expand pre-RDA abbreviations, etc. in bib records" </w:t>
      </w:r>
      <w:r>
        <w:t>frame</w:t>
      </w:r>
      <w:r w:rsidRPr="00AF2D77">
        <w:t>.</w:t>
      </w:r>
      <w:r w:rsidR="00F20D09" w:rsidRPr="00AF2D77">
        <w:t xml:space="preserve"> T</w:t>
      </w:r>
      <w:r w:rsidR="00F20D09" w:rsidRPr="00F20D09">
        <w:t>hese boxes are by default not checked.</w:t>
      </w:r>
      <w:r w:rsidR="00F20D09" w:rsidRPr="0098019A">
        <w:rPr>
          <w:b/>
        </w:rPr>
        <w:t xml:space="preserve"> </w:t>
      </w:r>
      <w:r w:rsidRPr="00F20D09">
        <w:rPr>
          <w:b/>
        </w:rPr>
        <w:t>People in ARC should not check the "Supply 336-338 fields" box at this time.</w:t>
      </w:r>
    </w:p>
    <w:p w:rsidR="006C7FEF" w:rsidRDefault="006C7FEF" w:rsidP="0098019A">
      <w:pPr>
        <w:keepNext/>
      </w:pPr>
    </w:p>
    <w:p w:rsidR="006C7FEF" w:rsidRDefault="006C7FEF">
      <w:r>
        <w:rPr>
          <w:noProof/>
        </w:rPr>
        <w:drawing>
          <wp:inline distT="0" distB="0" distL="0" distR="0">
            <wp:extent cx="2867025" cy="17526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2867025" cy="1752600"/>
                    </a:xfrm>
                    <a:prstGeom prst="rect">
                      <a:avLst/>
                    </a:prstGeom>
                    <a:noFill/>
                    <a:ln w="9525">
                      <a:noFill/>
                      <a:miter lim="800000"/>
                      <a:headEnd/>
                      <a:tailEnd/>
                    </a:ln>
                  </pic:spPr>
                </pic:pic>
              </a:graphicData>
            </a:graphic>
          </wp:inline>
        </w:drawing>
      </w:r>
    </w:p>
    <w:p w:rsidR="00F20D09" w:rsidRDefault="00F20D09"/>
    <w:p w:rsidR="00B40E50" w:rsidRDefault="00B40E50" w:rsidP="00B40E50">
      <w:pPr>
        <w:keepNext/>
      </w:pPr>
      <w:r>
        <w:t xml:space="preserve">Options for the RDA button: </w:t>
      </w:r>
      <w:r w:rsidR="00A23E98">
        <w:t>In the "Generate these fields" frame, c</w:t>
      </w:r>
      <w:r>
        <w:t xml:space="preserve">heck all of the boxes except the 336 field; do not </w:t>
      </w:r>
      <w:r w:rsidR="000F1E99">
        <w:t xml:space="preserve">check the box to </w:t>
      </w:r>
      <w:r>
        <w:t>add subfield $5 to these fields.</w:t>
      </w:r>
    </w:p>
    <w:p w:rsidR="00B40E50" w:rsidRDefault="00B40E50" w:rsidP="00B40E50">
      <w:pPr>
        <w:keepNext/>
      </w:pPr>
    </w:p>
    <w:p w:rsidR="00B40E50" w:rsidRDefault="00A23E98">
      <w:r>
        <w:rPr>
          <w:noProof/>
        </w:rPr>
        <w:drawing>
          <wp:inline distT="0" distB="0" distL="0" distR="0">
            <wp:extent cx="5943600" cy="457848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4578489"/>
                    </a:xfrm>
                    <a:prstGeom prst="rect">
                      <a:avLst/>
                    </a:prstGeom>
                    <a:noFill/>
                    <a:ln w="9525">
                      <a:noFill/>
                      <a:miter lim="800000"/>
                      <a:headEnd/>
                      <a:tailEnd/>
                    </a:ln>
                  </pic:spPr>
                </pic:pic>
              </a:graphicData>
            </a:graphic>
          </wp:inline>
        </w:drawing>
      </w:r>
    </w:p>
    <w:p w:rsidR="00B40E50" w:rsidRDefault="00B40E50"/>
    <w:p w:rsidR="00A23E98" w:rsidRDefault="00A23E98">
      <w:r>
        <w:t>You can use the "Fields to suggest every time" part of this panel to define fields that will appear in the list of suggested additions every time you use the RDA button.</w:t>
      </w:r>
    </w:p>
    <w:p w:rsidR="00A23E98" w:rsidRDefault="00A23E98"/>
    <w:p w:rsidR="00B40E50" w:rsidRDefault="00B40E50" w:rsidP="00F20D09">
      <w:pPr>
        <w:keepNext/>
      </w:pPr>
      <w:r>
        <w:t xml:space="preserve">Options for the "linking fields" button: For </w:t>
      </w:r>
      <w:r>
        <w:rPr>
          <w:i/>
        </w:rPr>
        <w:t xml:space="preserve">each field, </w:t>
      </w:r>
      <w:r>
        <w:t>check all of the available boxes except for subfield $7:</w:t>
      </w:r>
    </w:p>
    <w:p w:rsidR="00B40E50" w:rsidRDefault="00B40E50" w:rsidP="00F20D09">
      <w:pPr>
        <w:keepNext/>
      </w:pPr>
    </w:p>
    <w:p w:rsidR="00B40E50" w:rsidRDefault="00AF2D77">
      <w:r>
        <w:rPr>
          <w:noProof/>
        </w:rPr>
        <w:drawing>
          <wp:inline distT="0" distB="0" distL="0" distR="0">
            <wp:extent cx="5943600" cy="45549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4554980"/>
                    </a:xfrm>
                    <a:prstGeom prst="rect">
                      <a:avLst/>
                    </a:prstGeom>
                    <a:noFill/>
                    <a:ln w="9525">
                      <a:noFill/>
                      <a:miter lim="800000"/>
                      <a:headEnd/>
                      <a:tailEnd/>
                    </a:ln>
                  </pic:spPr>
                </pic:pic>
              </a:graphicData>
            </a:graphic>
          </wp:inline>
        </w:drawing>
      </w:r>
    </w:p>
    <w:p w:rsidR="00B40E50" w:rsidRDefault="00B40E50"/>
    <w:p w:rsidR="008C1782" w:rsidRDefault="008C1782">
      <w:r>
        <w:t>Options for the 4XX, 643 and 670 buttons</w:t>
      </w:r>
    </w:p>
    <w:p w:rsidR="008C1782" w:rsidRDefault="008C1782"/>
    <w:p w:rsidR="008C1782" w:rsidRDefault="008C1782">
      <w:r>
        <w:rPr>
          <w:noProof/>
        </w:rPr>
        <w:drawing>
          <wp:inline distT="0" distB="0" distL="0" distR="0">
            <wp:extent cx="180022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00225" cy="819150"/>
                    </a:xfrm>
                    <a:prstGeom prst="rect">
                      <a:avLst/>
                    </a:prstGeom>
                    <a:noFill/>
                    <a:ln w="9525">
                      <a:noFill/>
                      <a:miter lim="800000"/>
                      <a:headEnd/>
                      <a:tailEnd/>
                    </a:ln>
                  </pic:spPr>
                </pic:pic>
              </a:graphicData>
            </a:graphic>
          </wp:inline>
        </w:drawing>
      </w:r>
    </w:p>
    <w:p w:rsidR="008C1782" w:rsidRDefault="008C1782"/>
    <w:p w:rsidR="008C1782" w:rsidRPr="00B40E50" w:rsidRDefault="008C1782">
      <w:r>
        <w:t xml:space="preserve">These boxes are by default </w:t>
      </w:r>
      <w:r w:rsidRPr="00AF2D77">
        <w:rPr>
          <w:i/>
        </w:rPr>
        <w:t>not</w:t>
      </w:r>
      <w:r>
        <w:t xml:space="preserve"> checked. If you leave them unchecked, these buttons behave as they have always behaved. If you check these boxes, the toolkit uses the new elaborate editing form (with many tabs) instead. </w:t>
      </w:r>
    </w:p>
    <w:sectPr w:rsidR="008C1782" w:rsidRPr="00B40E50" w:rsidSect="00262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3493"/>
    <w:multiLevelType w:val="hybridMultilevel"/>
    <w:tmpl w:val="6392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E50"/>
    <w:rsid w:val="00001DF5"/>
    <w:rsid w:val="00063C9A"/>
    <w:rsid w:val="00073D8C"/>
    <w:rsid w:val="0007585B"/>
    <w:rsid w:val="000F1E99"/>
    <w:rsid w:val="000F6B99"/>
    <w:rsid w:val="00100777"/>
    <w:rsid w:val="001043A3"/>
    <w:rsid w:val="001A25AD"/>
    <w:rsid w:val="00242AF5"/>
    <w:rsid w:val="00262504"/>
    <w:rsid w:val="002856CC"/>
    <w:rsid w:val="00331ACA"/>
    <w:rsid w:val="00353597"/>
    <w:rsid w:val="00460288"/>
    <w:rsid w:val="004B1378"/>
    <w:rsid w:val="004D7459"/>
    <w:rsid w:val="006936D1"/>
    <w:rsid w:val="006B5158"/>
    <w:rsid w:val="006C7FEF"/>
    <w:rsid w:val="007919CC"/>
    <w:rsid w:val="007B4773"/>
    <w:rsid w:val="007B71ED"/>
    <w:rsid w:val="00884FE6"/>
    <w:rsid w:val="008B13E4"/>
    <w:rsid w:val="008C1782"/>
    <w:rsid w:val="008D7414"/>
    <w:rsid w:val="008F42D5"/>
    <w:rsid w:val="008F69D8"/>
    <w:rsid w:val="00947DAA"/>
    <w:rsid w:val="0098019A"/>
    <w:rsid w:val="00A14985"/>
    <w:rsid w:val="00A23E98"/>
    <w:rsid w:val="00A62FF3"/>
    <w:rsid w:val="00A77142"/>
    <w:rsid w:val="00AC67D8"/>
    <w:rsid w:val="00AD3E29"/>
    <w:rsid w:val="00AE0FB4"/>
    <w:rsid w:val="00AE5B76"/>
    <w:rsid w:val="00AF2D77"/>
    <w:rsid w:val="00AF594A"/>
    <w:rsid w:val="00B40E50"/>
    <w:rsid w:val="00B908FB"/>
    <w:rsid w:val="00B973C4"/>
    <w:rsid w:val="00D776F0"/>
    <w:rsid w:val="00DB5C9D"/>
    <w:rsid w:val="00E80E3E"/>
    <w:rsid w:val="00E82B44"/>
    <w:rsid w:val="00F048AE"/>
    <w:rsid w:val="00F20D09"/>
    <w:rsid w:val="00F45035"/>
    <w:rsid w:val="00F86D6A"/>
    <w:rsid w:val="00FA3FAA"/>
    <w:rsid w:val="00FF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50"/>
    <w:rPr>
      <w:rFonts w:ascii="Tahoma" w:hAnsi="Tahoma" w:cs="Tahoma"/>
      <w:sz w:val="16"/>
      <w:szCs w:val="16"/>
    </w:rPr>
  </w:style>
  <w:style w:type="paragraph" w:styleId="ListParagraph">
    <w:name w:val="List Paragraph"/>
    <w:basedOn w:val="Normal"/>
    <w:uiPriority w:val="34"/>
    <w:qFormat/>
    <w:rsid w:val="000F6B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12</cp:revision>
  <dcterms:created xsi:type="dcterms:W3CDTF">2013-03-04T16:59:00Z</dcterms:created>
  <dcterms:modified xsi:type="dcterms:W3CDTF">2013-03-07T17:50:00Z</dcterms:modified>
</cp:coreProperties>
</file>