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90" w:rsidRPr="00E02490" w:rsidRDefault="00DD185E" w:rsidP="00CA5DF4">
      <w:pPr>
        <w:spacing w:line="240" w:lineRule="auto"/>
        <w:rPr>
          <w:b/>
          <w:sz w:val="28"/>
          <w:szCs w:val="28"/>
        </w:rPr>
      </w:pPr>
      <w:r>
        <w:rPr>
          <w:b/>
          <w:sz w:val="28"/>
          <w:szCs w:val="28"/>
        </w:rPr>
        <w:t xml:space="preserve">RDA phase 3: </w:t>
      </w:r>
      <w:r w:rsidR="00E02490" w:rsidRPr="00E02490">
        <w:rPr>
          <w:b/>
          <w:sz w:val="28"/>
          <w:szCs w:val="28"/>
        </w:rPr>
        <w:t>Handling of the authority 678 field</w:t>
      </w:r>
    </w:p>
    <w:p w:rsidR="00DD185E" w:rsidRDefault="00DD185E" w:rsidP="00CA5DF4">
      <w:pPr>
        <w:spacing w:line="240" w:lineRule="auto"/>
        <w:rPr>
          <w:sz w:val="24"/>
          <w:szCs w:val="24"/>
        </w:rPr>
      </w:pPr>
      <w:r>
        <w:rPr>
          <w:sz w:val="24"/>
          <w:szCs w:val="24"/>
        </w:rPr>
        <w:t>Gary L. Strawn</w:t>
      </w:r>
    </w:p>
    <w:p w:rsidR="00E02490" w:rsidRPr="00E02490" w:rsidRDefault="0053152E" w:rsidP="00CA5DF4">
      <w:pPr>
        <w:spacing w:line="240" w:lineRule="auto"/>
        <w:rPr>
          <w:sz w:val="24"/>
          <w:szCs w:val="24"/>
        </w:rPr>
      </w:pPr>
      <w:r>
        <w:rPr>
          <w:sz w:val="24"/>
          <w:szCs w:val="24"/>
        </w:rPr>
        <w:t>September 1, 2014</w:t>
      </w:r>
    </w:p>
    <w:p w:rsidR="00E02490" w:rsidRDefault="00E02490" w:rsidP="00CA5DF4">
      <w:pPr>
        <w:spacing w:line="240" w:lineRule="auto"/>
      </w:pPr>
    </w:p>
    <w:p w:rsidR="00E02490" w:rsidRDefault="00E02490" w:rsidP="00CA5DF4">
      <w:pPr>
        <w:spacing w:line="240" w:lineRule="auto"/>
      </w:pPr>
    </w:p>
    <w:p w:rsidR="00FD23B3" w:rsidRDefault="00FD23B3" w:rsidP="00CA5DF4">
      <w:pPr>
        <w:spacing w:line="240" w:lineRule="auto"/>
      </w:pPr>
      <w:r>
        <w:rPr>
          <w:b/>
        </w:rPr>
        <w:t>Background</w:t>
      </w:r>
    </w:p>
    <w:p w:rsidR="00FD23B3" w:rsidRPr="00FD23B3" w:rsidRDefault="00FD23B3" w:rsidP="00CA5DF4">
      <w:pPr>
        <w:spacing w:line="240" w:lineRule="auto"/>
      </w:pPr>
    </w:p>
    <w:p w:rsidR="00E02490" w:rsidRDefault="00E02490" w:rsidP="00CA5DF4">
      <w:pPr>
        <w:spacing w:line="240" w:lineRule="auto"/>
      </w:pPr>
      <w:r>
        <w:t xml:space="preserve">The </w:t>
      </w:r>
      <w:r w:rsidR="00033C36">
        <w:t xml:space="preserve">preliminary edition </w:t>
      </w:r>
      <w:r>
        <w:t xml:space="preserve">of the MARC </w:t>
      </w:r>
      <w:proofErr w:type="gramStart"/>
      <w:r>
        <w:t>authorities</w:t>
      </w:r>
      <w:proofErr w:type="gramEnd"/>
      <w:r>
        <w:t xml:space="preserve"> format</w:t>
      </w:r>
      <w:r>
        <w:rPr>
          <w:rStyle w:val="FootnoteReference"/>
        </w:rPr>
        <w:footnoteReference w:id="1"/>
      </w:r>
      <w:r>
        <w:t xml:space="preserve"> gives this definition for the 678 field:</w:t>
      </w:r>
    </w:p>
    <w:p w:rsidR="00E02490" w:rsidRDefault="00E02490" w:rsidP="00CA5DF4">
      <w:pPr>
        <w:spacing w:line="240" w:lineRule="auto"/>
      </w:pPr>
    </w:p>
    <w:p w:rsidR="00E02490" w:rsidRPr="00AB5E53" w:rsidRDefault="00E02490" w:rsidP="00CA5DF4">
      <w:pPr>
        <w:spacing w:line="240" w:lineRule="auto"/>
        <w:ind w:left="360"/>
        <w:rPr>
          <w:rFonts w:ascii="Courier New" w:hAnsi="Courier New" w:cs="Courier New"/>
          <w:u w:val="single"/>
        </w:rPr>
      </w:pPr>
      <w:r w:rsidRPr="00AB5E53">
        <w:rPr>
          <w:rFonts w:ascii="Courier New" w:hAnsi="Courier New" w:cs="Courier New"/>
          <w:u w:val="single"/>
        </w:rPr>
        <w:t xml:space="preserve">678 </w:t>
      </w:r>
      <w:proofErr w:type="gramStart"/>
      <w:r w:rsidRPr="00AB5E53">
        <w:rPr>
          <w:rFonts w:ascii="Courier New" w:hAnsi="Courier New" w:cs="Courier New"/>
          <w:u w:val="single"/>
        </w:rPr>
        <w:t>Note</w:t>
      </w:r>
      <w:proofErr w:type="gramEnd"/>
      <w:r w:rsidRPr="00AB5E53">
        <w:rPr>
          <w:rFonts w:ascii="Courier New" w:hAnsi="Courier New" w:cs="Courier New"/>
          <w:u w:val="single"/>
        </w:rPr>
        <w:t xml:space="preserve"> – Epitome or Biographical Summary (Names)</w:t>
      </w:r>
    </w:p>
    <w:p w:rsidR="00E02490" w:rsidRPr="00AB5E53" w:rsidRDefault="00E02490" w:rsidP="00CA5DF4">
      <w:pPr>
        <w:spacing w:line="240" w:lineRule="auto"/>
        <w:ind w:left="360"/>
        <w:rPr>
          <w:rFonts w:ascii="Courier New" w:hAnsi="Courier New" w:cs="Courier New"/>
        </w:rPr>
      </w:pPr>
    </w:p>
    <w:p w:rsidR="00E02490" w:rsidRPr="00AB5E53" w:rsidRDefault="00E02490" w:rsidP="00CA5DF4">
      <w:pPr>
        <w:spacing w:line="240" w:lineRule="auto"/>
        <w:ind w:left="360"/>
        <w:rPr>
          <w:rFonts w:ascii="Courier New" w:hAnsi="Courier New" w:cs="Courier New"/>
        </w:rPr>
      </w:pPr>
      <w:r w:rsidRPr="00AB5E53">
        <w:rPr>
          <w:rFonts w:ascii="Courier New" w:hAnsi="Courier New" w:cs="Courier New"/>
        </w:rPr>
        <w:t>This field is used to record biographical, historical, or other information about a name or uniform title heading. Such data could also appear as part of other fields, such as the note field for source data (tag 670). The Library of Congress does not expect to provide this field at the present time. The following subfield codes are used:</w:t>
      </w:r>
    </w:p>
    <w:p w:rsidR="00E02490" w:rsidRPr="00AB5E53" w:rsidRDefault="00E02490" w:rsidP="00CA5DF4">
      <w:pPr>
        <w:spacing w:line="240" w:lineRule="auto"/>
        <w:ind w:left="360"/>
        <w:rPr>
          <w:rFonts w:ascii="Courier New" w:hAnsi="Courier New" w:cs="Courier New"/>
        </w:rPr>
      </w:pPr>
    </w:p>
    <w:p w:rsidR="00E02490" w:rsidRDefault="00E02490" w:rsidP="00CA5DF4">
      <w:pPr>
        <w:spacing w:line="240" w:lineRule="auto"/>
        <w:ind w:left="720"/>
      </w:pPr>
      <w:r w:rsidRPr="00AB5E53">
        <w:rPr>
          <w:rFonts w:ascii="Courier New" w:hAnsi="Courier New" w:cs="Courier New"/>
        </w:rPr>
        <w:t>$w Control subfield</w:t>
      </w:r>
      <w:r>
        <w:rPr>
          <w:rStyle w:val="FootnoteReference"/>
        </w:rPr>
        <w:footnoteReference w:id="2"/>
      </w:r>
    </w:p>
    <w:p w:rsidR="00E02490" w:rsidRPr="00AB5E53" w:rsidRDefault="00E02490" w:rsidP="00CA5DF4">
      <w:pPr>
        <w:spacing w:line="240" w:lineRule="auto"/>
        <w:ind w:left="720"/>
        <w:rPr>
          <w:rFonts w:ascii="Courier New" w:hAnsi="Courier New" w:cs="Courier New"/>
        </w:rPr>
      </w:pPr>
      <w:r w:rsidRPr="00AB5E53">
        <w:rPr>
          <w:rFonts w:ascii="Courier New" w:hAnsi="Courier New" w:cs="Courier New"/>
        </w:rPr>
        <w:t>$a Epitome note</w:t>
      </w:r>
    </w:p>
    <w:p w:rsidR="00E02490" w:rsidRDefault="00E02490" w:rsidP="00CA5DF4">
      <w:pPr>
        <w:spacing w:line="240" w:lineRule="auto"/>
        <w:ind w:left="360"/>
      </w:pPr>
    </w:p>
    <w:p w:rsidR="00E02490" w:rsidRPr="00AB5E53" w:rsidRDefault="00E02490" w:rsidP="00CA5DF4">
      <w:pPr>
        <w:spacing w:line="240" w:lineRule="auto"/>
        <w:ind w:left="360"/>
        <w:rPr>
          <w:rFonts w:ascii="Courier New" w:hAnsi="Courier New" w:cs="Courier New"/>
        </w:rPr>
      </w:pPr>
      <w:r w:rsidRPr="00AB5E53">
        <w:rPr>
          <w:rFonts w:ascii="Courier New" w:hAnsi="Courier New" w:cs="Courier New"/>
        </w:rPr>
        <w:t>The indicators in this field are blank.</w:t>
      </w:r>
    </w:p>
    <w:p w:rsidR="00E02490" w:rsidRDefault="00E02490" w:rsidP="00CA5DF4">
      <w:pPr>
        <w:spacing w:line="240" w:lineRule="auto"/>
      </w:pPr>
    </w:p>
    <w:p w:rsidR="00E02490" w:rsidRDefault="00341A13" w:rsidP="00CA5DF4">
      <w:pPr>
        <w:spacing w:line="240" w:lineRule="auto"/>
      </w:pPr>
      <w:r>
        <w:t>By the time of the publication of the first edition of the format,</w:t>
      </w:r>
      <w:r>
        <w:rPr>
          <w:rStyle w:val="FootnoteReference"/>
        </w:rPr>
        <w:footnoteReference w:id="3"/>
      </w:r>
      <w:r>
        <w:t xml:space="preserve"> the definition had changed somewhat:</w:t>
      </w:r>
    </w:p>
    <w:p w:rsidR="00341A13" w:rsidRDefault="00341A13" w:rsidP="00CA5DF4">
      <w:pPr>
        <w:spacing w:line="240" w:lineRule="auto"/>
      </w:pPr>
    </w:p>
    <w:p w:rsidR="00341A13" w:rsidRPr="00AB5E53" w:rsidRDefault="00341A13" w:rsidP="00CA5DF4">
      <w:pPr>
        <w:spacing w:line="240" w:lineRule="auto"/>
        <w:ind w:left="360"/>
        <w:rPr>
          <w:rFonts w:ascii="Courier New" w:hAnsi="Courier New" w:cs="Courier New"/>
          <w:u w:val="single"/>
        </w:rPr>
      </w:pPr>
      <w:r w:rsidRPr="00AB5E53">
        <w:rPr>
          <w:rFonts w:ascii="Courier New" w:hAnsi="Courier New" w:cs="Courier New"/>
        </w:rPr>
        <w:t xml:space="preserve">678 </w:t>
      </w:r>
      <w:proofErr w:type="gramStart"/>
      <w:r w:rsidRPr="00AB5E53">
        <w:rPr>
          <w:rFonts w:ascii="Courier New" w:hAnsi="Courier New" w:cs="Courier New"/>
          <w:u w:val="single"/>
        </w:rPr>
        <w:t>Epitome</w:t>
      </w:r>
      <w:proofErr w:type="gramEnd"/>
    </w:p>
    <w:p w:rsidR="00341A13" w:rsidRPr="00AB5E53" w:rsidRDefault="00341A13" w:rsidP="00CA5DF4">
      <w:pPr>
        <w:spacing w:line="240" w:lineRule="auto"/>
        <w:ind w:left="360"/>
        <w:rPr>
          <w:rFonts w:ascii="Courier New" w:hAnsi="Courier New" w:cs="Courier New"/>
          <w:u w:val="single"/>
        </w:rPr>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This field is used to record biographical, historical, or other information about the heading. Such data could also appear as part of other fields, e</w:t>
      </w:r>
      <w:r w:rsidR="00A26BA2">
        <w:rPr>
          <w:rFonts w:ascii="Courier New" w:hAnsi="Courier New" w:cs="Courier New"/>
        </w:rPr>
        <w:t>.</w:t>
      </w:r>
      <w:r w:rsidRPr="00AB5E53">
        <w:rPr>
          <w:rFonts w:ascii="Courier New" w:hAnsi="Courier New" w:cs="Courier New"/>
        </w:rPr>
        <w:t>g., source data found (tag 670).</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The indicators in this field are blank.</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The following subfield code is used:</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720"/>
        <w:rPr>
          <w:rFonts w:ascii="Courier New" w:hAnsi="Courier New" w:cs="Courier New"/>
        </w:rPr>
      </w:pPr>
      <w:r w:rsidRPr="00AB5E53">
        <w:rPr>
          <w:rFonts w:ascii="Courier New" w:hAnsi="Courier New" w:cs="Courier New"/>
        </w:rPr>
        <w:t>$a Epitome note</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The field is not repeatable; subfield $</w:t>
      </w:r>
      <w:proofErr w:type="gramStart"/>
      <w:r w:rsidRPr="00AB5E53">
        <w:rPr>
          <w:rFonts w:ascii="Courier New" w:hAnsi="Courier New" w:cs="Courier New"/>
        </w:rPr>
        <w:t>a is</w:t>
      </w:r>
      <w:proofErr w:type="gramEnd"/>
      <w:r w:rsidRPr="00AB5E53">
        <w:rPr>
          <w:rFonts w:ascii="Courier New" w:hAnsi="Courier New" w:cs="Courier New"/>
        </w:rPr>
        <w:t xml:space="preserve"> repeatable.</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EXAMPLE:</w:t>
      </w:r>
    </w:p>
    <w:p w:rsidR="00341A13" w:rsidRPr="00AB5E53" w:rsidRDefault="00341A13" w:rsidP="00CA5DF4">
      <w:pPr>
        <w:spacing w:line="240" w:lineRule="auto"/>
        <w:ind w:left="360"/>
        <w:rPr>
          <w:rFonts w:ascii="Courier New" w:hAnsi="Courier New" w:cs="Courier New"/>
        </w:rPr>
      </w:pPr>
    </w:p>
    <w:p w:rsidR="00341A13" w:rsidRPr="00AB5E53" w:rsidRDefault="00341A13" w:rsidP="00CA5DF4">
      <w:pPr>
        <w:spacing w:line="240" w:lineRule="auto"/>
        <w:ind w:left="720"/>
        <w:rPr>
          <w:rFonts w:ascii="Courier New" w:hAnsi="Courier New" w:cs="Courier New"/>
        </w:rPr>
      </w:pPr>
      <w:r w:rsidRPr="00AB5E53">
        <w:rPr>
          <w:rFonts w:ascii="Courier New" w:hAnsi="Courier New" w:cs="Courier New"/>
        </w:rPr>
        <w:t xml:space="preserve">[100] 10$aKorman, </w:t>
      </w:r>
      <w:proofErr w:type="spellStart"/>
      <w:r w:rsidRPr="00AB5E53">
        <w:rPr>
          <w:rFonts w:ascii="Courier New" w:hAnsi="Courier New" w:cs="Courier New"/>
        </w:rPr>
        <w:t>Gerd</w:t>
      </w:r>
      <w:proofErr w:type="spellEnd"/>
    </w:p>
    <w:p w:rsidR="00341A13" w:rsidRPr="00AB5E53" w:rsidRDefault="00341A13" w:rsidP="00CA5DF4">
      <w:pPr>
        <w:spacing w:line="240" w:lineRule="auto"/>
        <w:ind w:left="720"/>
        <w:rPr>
          <w:rFonts w:ascii="Courier New" w:hAnsi="Courier New" w:cs="Courier New"/>
        </w:rPr>
      </w:pPr>
      <w:r w:rsidRPr="00AB5E53">
        <w:rPr>
          <w:rFonts w:ascii="Courier New" w:hAnsi="Courier New" w:cs="Courier New"/>
        </w:rPr>
        <w:t>[678] ## $ab. 1928</w:t>
      </w:r>
      <w:proofErr w:type="gramStart"/>
      <w:r w:rsidRPr="00AB5E53">
        <w:rPr>
          <w:rFonts w:ascii="Courier New" w:hAnsi="Courier New" w:cs="Courier New"/>
        </w:rPr>
        <w:t>;$</w:t>
      </w:r>
      <w:proofErr w:type="spellStart"/>
      <w:proofErr w:type="gramEnd"/>
      <w:r w:rsidRPr="00AB5E53">
        <w:rPr>
          <w:rFonts w:ascii="Courier New" w:hAnsi="Courier New" w:cs="Courier New"/>
        </w:rPr>
        <w:t>aPhD</w:t>
      </w:r>
      <w:proofErr w:type="spellEnd"/>
    </w:p>
    <w:p w:rsidR="00341A13" w:rsidRDefault="00341A13" w:rsidP="00CA5DF4">
      <w:pPr>
        <w:spacing w:line="240" w:lineRule="auto"/>
        <w:ind w:left="720"/>
      </w:pPr>
    </w:p>
    <w:p w:rsidR="00341A13" w:rsidRPr="00AB5E53" w:rsidRDefault="00341A13" w:rsidP="00CA5DF4">
      <w:pPr>
        <w:spacing w:line="240" w:lineRule="auto"/>
        <w:ind w:left="360"/>
        <w:rPr>
          <w:rFonts w:ascii="Courier New" w:hAnsi="Courier New" w:cs="Courier New"/>
        </w:rPr>
      </w:pPr>
      <w:r w:rsidRPr="00AB5E53">
        <w:rPr>
          <w:rFonts w:ascii="Courier New" w:hAnsi="Courier New" w:cs="Courier New"/>
        </w:rPr>
        <w:t>Library of Congress practice: LC has used this field only for machine-readable authority records converted retrospectively from existing manual authority records. "Source data found" information in the manual records is summarized in field 678. Any new "source data found" information is recorded in field 670.</w:t>
      </w:r>
    </w:p>
    <w:p w:rsidR="00341A13" w:rsidRDefault="00341A13" w:rsidP="00CA5DF4">
      <w:pPr>
        <w:spacing w:line="240" w:lineRule="auto"/>
        <w:ind w:left="360"/>
      </w:pPr>
    </w:p>
    <w:p w:rsidR="00341A13" w:rsidRDefault="003725A1" w:rsidP="00CA5DF4">
      <w:pPr>
        <w:spacing w:line="240" w:lineRule="auto"/>
      </w:pPr>
      <w:r>
        <w:t xml:space="preserve">Early uses of </w:t>
      </w:r>
      <w:r w:rsidR="00AB5E53">
        <w:t xml:space="preserve">the 678 </w:t>
      </w:r>
      <w:r>
        <w:t xml:space="preserve">field </w:t>
      </w:r>
      <w:r w:rsidR="006D3AA0">
        <w:t xml:space="preserve">by LC appear to have been </w:t>
      </w:r>
      <w:r>
        <w:t xml:space="preserve">limited </w:t>
      </w:r>
      <w:r w:rsidR="006D3AA0">
        <w:t>in the manner suggested by the LC practice note in the 1981 edition of the format: the 678 field contained bits of information picked off a manual authority card during the conversion of the authority card to machine-readable form. Here are examples of 678 fields that appear to be the result of this practice:</w:t>
      </w:r>
    </w:p>
    <w:p w:rsidR="006D3AA0" w:rsidRDefault="006D3AA0" w:rsidP="00CA5DF4">
      <w:pPr>
        <w:spacing w:line="240" w:lineRule="auto"/>
      </w:pPr>
    </w:p>
    <w:tbl>
      <w:tblPr>
        <w:tblStyle w:val="TableGrid"/>
        <w:tblW w:w="0" w:type="auto"/>
        <w:tblLook w:val="04A0"/>
      </w:tblPr>
      <w:tblGrid>
        <w:gridCol w:w="1548"/>
        <w:gridCol w:w="1890"/>
      </w:tblGrid>
      <w:tr w:rsidR="006D3AA0" w:rsidTr="00B91C6F">
        <w:tc>
          <w:tcPr>
            <w:tcW w:w="1548" w:type="dxa"/>
          </w:tcPr>
          <w:p w:rsidR="006D3AA0" w:rsidRPr="006D3AA0" w:rsidRDefault="006D3AA0" w:rsidP="00CA5DF4">
            <w:pPr>
              <w:rPr>
                <w:b/>
              </w:rPr>
            </w:pPr>
            <w:r w:rsidRPr="006D3AA0">
              <w:rPr>
                <w:b/>
              </w:rPr>
              <w:t>LCCN</w:t>
            </w:r>
          </w:p>
        </w:tc>
        <w:tc>
          <w:tcPr>
            <w:tcW w:w="1890" w:type="dxa"/>
          </w:tcPr>
          <w:p w:rsidR="006D3AA0" w:rsidRPr="006D3AA0" w:rsidRDefault="006D3AA0" w:rsidP="00CA5DF4">
            <w:pPr>
              <w:rPr>
                <w:b/>
              </w:rPr>
            </w:pPr>
            <w:r w:rsidRPr="006D3AA0">
              <w:rPr>
                <w:b/>
              </w:rPr>
              <w:t>678 field</w:t>
            </w:r>
          </w:p>
        </w:tc>
      </w:tr>
      <w:tr w:rsidR="006D3AA0" w:rsidTr="00B91C6F">
        <w:tc>
          <w:tcPr>
            <w:tcW w:w="1548" w:type="dxa"/>
          </w:tcPr>
          <w:p w:rsidR="006D3AA0" w:rsidRDefault="006D3AA0" w:rsidP="00CA5DF4">
            <w:r>
              <w:t>n 79148147</w:t>
            </w:r>
          </w:p>
        </w:tc>
        <w:tc>
          <w:tcPr>
            <w:tcW w:w="1890" w:type="dxa"/>
          </w:tcPr>
          <w:p w:rsidR="006D3AA0" w:rsidRDefault="006D3AA0" w:rsidP="00CA5DF4">
            <w:r>
              <w:t>$a Est. 1946</w:t>
            </w:r>
          </w:p>
        </w:tc>
      </w:tr>
      <w:tr w:rsidR="006D3AA0" w:rsidTr="00B91C6F">
        <w:tc>
          <w:tcPr>
            <w:tcW w:w="1548" w:type="dxa"/>
          </w:tcPr>
          <w:p w:rsidR="006D3AA0" w:rsidRDefault="006D3AA0" w:rsidP="00CA5DF4">
            <w:r>
              <w:t>n 50059481</w:t>
            </w:r>
          </w:p>
        </w:tc>
        <w:tc>
          <w:tcPr>
            <w:tcW w:w="1890" w:type="dxa"/>
          </w:tcPr>
          <w:p w:rsidR="006D3AA0" w:rsidRDefault="006D3AA0" w:rsidP="00CA5DF4">
            <w:r>
              <w:t>$a B.A.</w:t>
            </w:r>
          </w:p>
        </w:tc>
      </w:tr>
      <w:tr w:rsidR="006D3AA0" w:rsidTr="00B91C6F">
        <w:tc>
          <w:tcPr>
            <w:tcW w:w="1548" w:type="dxa"/>
          </w:tcPr>
          <w:p w:rsidR="006D3AA0" w:rsidRDefault="006D3AA0" w:rsidP="00CA5DF4">
            <w:r>
              <w:t>n 82010695</w:t>
            </w:r>
          </w:p>
        </w:tc>
        <w:tc>
          <w:tcPr>
            <w:tcW w:w="1890" w:type="dxa"/>
          </w:tcPr>
          <w:p w:rsidR="006D3AA0" w:rsidRDefault="006D3AA0" w:rsidP="00CA5DF4">
            <w:r>
              <w:t>$a 1927-1960</w:t>
            </w:r>
          </w:p>
        </w:tc>
      </w:tr>
      <w:tr w:rsidR="006D3AA0" w:rsidTr="00B91C6F">
        <w:tc>
          <w:tcPr>
            <w:tcW w:w="1548" w:type="dxa"/>
          </w:tcPr>
          <w:p w:rsidR="006D3AA0" w:rsidRDefault="006D3AA0" w:rsidP="00CA5DF4">
            <w:r>
              <w:t>n 50082265</w:t>
            </w:r>
          </w:p>
        </w:tc>
        <w:tc>
          <w:tcPr>
            <w:tcW w:w="1890" w:type="dxa"/>
          </w:tcPr>
          <w:p w:rsidR="006D3AA0" w:rsidRDefault="006D3AA0" w:rsidP="00CA5DF4">
            <w:r>
              <w:t>$a Dr.</w:t>
            </w:r>
          </w:p>
        </w:tc>
      </w:tr>
      <w:tr w:rsidR="006D3AA0" w:rsidTr="00B91C6F">
        <w:tc>
          <w:tcPr>
            <w:tcW w:w="1548" w:type="dxa"/>
          </w:tcPr>
          <w:p w:rsidR="006D3AA0" w:rsidRDefault="006D3AA0" w:rsidP="00CA5DF4">
            <w:r>
              <w:t>n 50067927</w:t>
            </w:r>
          </w:p>
        </w:tc>
        <w:tc>
          <w:tcPr>
            <w:tcW w:w="1890" w:type="dxa"/>
          </w:tcPr>
          <w:p w:rsidR="006D3AA0" w:rsidRDefault="006D3AA0" w:rsidP="00CA5DF4">
            <w:r>
              <w:t>$a First, 1966</w:t>
            </w:r>
          </w:p>
        </w:tc>
      </w:tr>
    </w:tbl>
    <w:p w:rsidR="006D3AA0" w:rsidRDefault="006D3AA0" w:rsidP="00CA5DF4">
      <w:pPr>
        <w:spacing w:line="240" w:lineRule="auto"/>
      </w:pPr>
    </w:p>
    <w:p w:rsidR="006D3AA0" w:rsidRDefault="006D3AA0" w:rsidP="00CA5DF4">
      <w:pPr>
        <w:spacing w:line="240" w:lineRule="auto"/>
      </w:pPr>
      <w:r>
        <w:t xml:space="preserve">None of the three editions of the </w:t>
      </w:r>
      <w:r w:rsidRPr="006D3AA0">
        <w:rPr>
          <w:i/>
        </w:rPr>
        <w:t>NACO participants' manual</w:t>
      </w:r>
      <w:r>
        <w:t xml:space="preserve"> appears to mention the 678 field at all. This is hardly surprising if </w:t>
      </w:r>
      <w:r w:rsidR="00FD23B3">
        <w:t xml:space="preserve">one assumes that </w:t>
      </w:r>
      <w:r>
        <w:t xml:space="preserve">the field </w:t>
      </w:r>
      <w:r w:rsidR="00FD23B3">
        <w:t xml:space="preserve">was being </w:t>
      </w:r>
      <w:r>
        <w:t>viewed simply as a repository for information plucked from an authority card during retrospective conversion</w:t>
      </w:r>
      <w:r w:rsidR="00FD23B3">
        <w:t>, and not as a field to be used as part of wholly new work.</w:t>
      </w:r>
    </w:p>
    <w:p w:rsidR="006D3AA0" w:rsidRDefault="006D3AA0" w:rsidP="00CA5DF4">
      <w:pPr>
        <w:spacing w:line="240" w:lineRule="auto"/>
      </w:pPr>
    </w:p>
    <w:p w:rsidR="00AB580E" w:rsidRDefault="00341A13" w:rsidP="00CA5DF4">
      <w:pPr>
        <w:spacing w:line="240" w:lineRule="auto"/>
      </w:pPr>
      <w:r>
        <w:t xml:space="preserve">The definition of the </w:t>
      </w:r>
      <w:r w:rsidR="00FD23B3">
        <w:t xml:space="preserve">678 </w:t>
      </w:r>
      <w:r>
        <w:t>field has shifted slightly</w:t>
      </w:r>
      <w:r w:rsidR="00FD23B3">
        <w:t xml:space="preserve"> over the years</w:t>
      </w:r>
      <w:r>
        <w:t>. The current definition</w:t>
      </w:r>
      <w:r>
        <w:rPr>
          <w:rStyle w:val="FootnoteReference"/>
        </w:rPr>
        <w:footnoteReference w:id="4"/>
      </w:r>
      <w:r>
        <w:t xml:space="preserve"> </w:t>
      </w:r>
      <w:r w:rsidR="00FD23B3">
        <w:t>of the field (</w:t>
      </w:r>
      <w:r>
        <w:t xml:space="preserve">contained </w:t>
      </w:r>
      <w:r w:rsidR="00FD23B3">
        <w:t xml:space="preserve">in </w:t>
      </w:r>
      <w:r>
        <w:t>an appendix to this document</w:t>
      </w:r>
      <w:r w:rsidR="00FD23B3">
        <w:t>), adds first indicator values and a few more subfields; the current definition also provides many examples</w:t>
      </w:r>
      <w:r>
        <w:t>.</w:t>
      </w:r>
      <w:r w:rsidR="00B91C6F">
        <w:t xml:space="preserve"> </w:t>
      </w:r>
      <w:r w:rsidR="00AB580E">
        <w:t xml:space="preserve">Perhaps the most important change in the definition of the field is reflected in the statement that the field is intended for </w:t>
      </w:r>
      <w:r w:rsidR="00AB580E" w:rsidRPr="008C089C">
        <w:rPr>
          <w:i/>
        </w:rPr>
        <w:t>public display</w:t>
      </w:r>
      <w:r w:rsidR="00AB580E">
        <w:t>.</w:t>
      </w:r>
    </w:p>
    <w:p w:rsidR="00AB580E" w:rsidRDefault="00AB580E" w:rsidP="00CA5DF4">
      <w:pPr>
        <w:spacing w:line="240" w:lineRule="auto"/>
      </w:pPr>
    </w:p>
    <w:p w:rsidR="00341A13" w:rsidRDefault="00B91C6F" w:rsidP="00CA5DF4">
      <w:pPr>
        <w:spacing w:line="240" w:lineRule="auto"/>
      </w:pPr>
      <w:r>
        <w:t xml:space="preserve">Here are examples of </w:t>
      </w:r>
      <w:r w:rsidR="008C089C">
        <w:t xml:space="preserve">recently-constructed </w:t>
      </w:r>
      <w:r>
        <w:t>678 fields</w:t>
      </w:r>
      <w:r w:rsidR="00AB580E">
        <w:t>, which appear to be intended for public display</w:t>
      </w:r>
      <w:r>
        <w:t>:</w:t>
      </w:r>
    </w:p>
    <w:p w:rsidR="00B91C6F" w:rsidRDefault="00B91C6F" w:rsidP="00CA5DF4">
      <w:pPr>
        <w:spacing w:line="240" w:lineRule="auto"/>
      </w:pPr>
    </w:p>
    <w:tbl>
      <w:tblPr>
        <w:tblStyle w:val="TableGrid"/>
        <w:tblW w:w="0" w:type="auto"/>
        <w:tblLook w:val="04A0"/>
      </w:tblPr>
      <w:tblGrid>
        <w:gridCol w:w="1548"/>
        <w:gridCol w:w="720"/>
        <w:gridCol w:w="7308"/>
      </w:tblGrid>
      <w:tr w:rsidR="00B91C6F" w:rsidTr="00B91C6F">
        <w:tc>
          <w:tcPr>
            <w:tcW w:w="1548" w:type="dxa"/>
          </w:tcPr>
          <w:p w:rsidR="00B91C6F" w:rsidRPr="006D3AA0" w:rsidRDefault="00B91C6F" w:rsidP="00CA5DF4">
            <w:pPr>
              <w:rPr>
                <w:b/>
              </w:rPr>
            </w:pPr>
            <w:r w:rsidRPr="006D3AA0">
              <w:rPr>
                <w:b/>
              </w:rPr>
              <w:t>LCCN</w:t>
            </w:r>
          </w:p>
        </w:tc>
        <w:tc>
          <w:tcPr>
            <w:tcW w:w="720" w:type="dxa"/>
          </w:tcPr>
          <w:p w:rsidR="00B91C6F" w:rsidRPr="006D3AA0" w:rsidRDefault="00B91C6F" w:rsidP="00CA5DF4">
            <w:pPr>
              <w:rPr>
                <w:b/>
              </w:rPr>
            </w:pPr>
            <w:proofErr w:type="spellStart"/>
            <w:r>
              <w:rPr>
                <w:b/>
              </w:rPr>
              <w:t>Ind</w:t>
            </w:r>
            <w:proofErr w:type="spellEnd"/>
            <w:r>
              <w:rPr>
                <w:b/>
              </w:rPr>
              <w:t xml:space="preserve"> 1</w:t>
            </w:r>
          </w:p>
        </w:tc>
        <w:tc>
          <w:tcPr>
            <w:tcW w:w="7308" w:type="dxa"/>
          </w:tcPr>
          <w:p w:rsidR="00B91C6F" w:rsidRPr="006D3AA0" w:rsidRDefault="00B91C6F" w:rsidP="00CA5DF4">
            <w:pPr>
              <w:rPr>
                <w:b/>
              </w:rPr>
            </w:pPr>
            <w:r w:rsidRPr="006D3AA0">
              <w:rPr>
                <w:b/>
              </w:rPr>
              <w:t>678 field</w:t>
            </w:r>
          </w:p>
        </w:tc>
      </w:tr>
      <w:tr w:rsidR="00B91C6F" w:rsidTr="00B91C6F">
        <w:tc>
          <w:tcPr>
            <w:tcW w:w="1548" w:type="dxa"/>
          </w:tcPr>
          <w:p w:rsidR="00B91C6F" w:rsidRDefault="00B91C6F" w:rsidP="00CA5DF4">
            <w:r>
              <w:t>no2012161600</w:t>
            </w:r>
          </w:p>
        </w:tc>
        <w:tc>
          <w:tcPr>
            <w:tcW w:w="720" w:type="dxa"/>
          </w:tcPr>
          <w:p w:rsidR="00B91C6F" w:rsidRDefault="00B91C6F" w:rsidP="00CA5DF4">
            <w:r>
              <w:t>0</w:t>
            </w:r>
          </w:p>
        </w:tc>
        <w:tc>
          <w:tcPr>
            <w:tcW w:w="7308" w:type="dxa"/>
          </w:tcPr>
          <w:p w:rsidR="00B91C6F" w:rsidRDefault="00B91C6F" w:rsidP="00CA5DF4">
            <w:r>
              <w:t xml:space="preserve">$a </w:t>
            </w:r>
            <w:proofErr w:type="spellStart"/>
            <w:r w:rsidRPr="00B91C6F">
              <w:t>aWende</w:t>
            </w:r>
            <w:proofErr w:type="spellEnd"/>
            <w:r w:rsidRPr="00B91C6F">
              <w:t xml:space="preserve"> Wagner (1941-1997) was an American actress and stuntwoman</w:t>
            </w:r>
          </w:p>
        </w:tc>
      </w:tr>
      <w:tr w:rsidR="00B91C6F" w:rsidTr="00B91C6F">
        <w:tc>
          <w:tcPr>
            <w:tcW w:w="1548" w:type="dxa"/>
          </w:tcPr>
          <w:p w:rsidR="00B91C6F" w:rsidRDefault="00AA04A5" w:rsidP="00CA5DF4">
            <w:r>
              <w:t>no2012160347</w:t>
            </w:r>
          </w:p>
        </w:tc>
        <w:tc>
          <w:tcPr>
            <w:tcW w:w="720" w:type="dxa"/>
          </w:tcPr>
          <w:p w:rsidR="00B91C6F" w:rsidRDefault="00AA04A5" w:rsidP="00CA5DF4">
            <w:r>
              <w:t>1</w:t>
            </w:r>
          </w:p>
        </w:tc>
        <w:tc>
          <w:tcPr>
            <w:tcW w:w="7308" w:type="dxa"/>
          </w:tcPr>
          <w:p w:rsidR="00B91C6F" w:rsidRDefault="00B91C6F" w:rsidP="00CA5DF4">
            <w:r>
              <w:t xml:space="preserve">$a </w:t>
            </w:r>
            <w:proofErr w:type="spellStart"/>
            <w:r w:rsidR="00AA04A5" w:rsidRPr="00AA04A5">
              <w:t>aSaint</w:t>
            </w:r>
            <w:proofErr w:type="spellEnd"/>
            <w:r w:rsidR="00AA04A5" w:rsidRPr="00AA04A5">
              <w:t xml:space="preserve"> Paul Island Tribal Government, organized as the existing corporation operating since 1959</w:t>
            </w:r>
          </w:p>
        </w:tc>
      </w:tr>
      <w:tr w:rsidR="00B91C6F" w:rsidTr="00B91C6F">
        <w:tc>
          <w:tcPr>
            <w:tcW w:w="1548" w:type="dxa"/>
          </w:tcPr>
          <w:p w:rsidR="00B91C6F" w:rsidRDefault="00AA04A5" w:rsidP="00CA5DF4">
            <w:r>
              <w:t>n 2014182110</w:t>
            </w:r>
          </w:p>
        </w:tc>
        <w:tc>
          <w:tcPr>
            <w:tcW w:w="720" w:type="dxa"/>
          </w:tcPr>
          <w:p w:rsidR="00B91C6F" w:rsidRDefault="00B91C6F" w:rsidP="00CA5DF4"/>
        </w:tc>
        <w:tc>
          <w:tcPr>
            <w:tcW w:w="7308" w:type="dxa"/>
          </w:tcPr>
          <w:p w:rsidR="00B91C6F" w:rsidRDefault="00B91C6F" w:rsidP="009C3FF7">
            <w:r>
              <w:t xml:space="preserve">$a </w:t>
            </w:r>
            <w:r w:rsidR="00AA04A5" w:rsidRPr="00AA04A5">
              <w:t>The Anatomical and Surgical Society was organized in Mar. 1878 as the Brooklyn Anatomical and Surgical Club, and incorporated in Sept. 1879 as the Brooklyn Anatomical and Surgical Society, but was known as Anatomical and Surgical Society, Brooklyn.</w:t>
            </w:r>
          </w:p>
        </w:tc>
      </w:tr>
      <w:tr w:rsidR="00B91C6F" w:rsidTr="00B91C6F">
        <w:tc>
          <w:tcPr>
            <w:tcW w:w="1548" w:type="dxa"/>
          </w:tcPr>
          <w:p w:rsidR="00B91C6F" w:rsidRDefault="00AA04A5" w:rsidP="00CA5DF4">
            <w:r>
              <w:t>no2014022552</w:t>
            </w:r>
          </w:p>
        </w:tc>
        <w:tc>
          <w:tcPr>
            <w:tcW w:w="720" w:type="dxa"/>
          </w:tcPr>
          <w:p w:rsidR="00B91C6F" w:rsidRDefault="00B91C6F" w:rsidP="00CA5DF4"/>
        </w:tc>
        <w:tc>
          <w:tcPr>
            <w:tcW w:w="7308" w:type="dxa"/>
          </w:tcPr>
          <w:p w:rsidR="00B91C6F" w:rsidRDefault="00B91C6F" w:rsidP="00CA5DF4">
            <w:r>
              <w:t xml:space="preserve">$a </w:t>
            </w:r>
            <w:proofErr w:type="spellStart"/>
            <w:r w:rsidR="00AA04A5" w:rsidRPr="00AA04A5">
              <w:t>aElizabeth</w:t>
            </w:r>
            <w:proofErr w:type="spellEnd"/>
            <w:r w:rsidR="00AA04A5" w:rsidRPr="00AA04A5">
              <w:t xml:space="preserve"> Rice is an author and adjunct professor of biology at Franklin and Marshall College in Lancaster, Pennsylvania</w:t>
            </w:r>
          </w:p>
        </w:tc>
      </w:tr>
      <w:tr w:rsidR="00AA04A5" w:rsidTr="00B91C6F">
        <w:tc>
          <w:tcPr>
            <w:tcW w:w="1548" w:type="dxa"/>
          </w:tcPr>
          <w:p w:rsidR="00AA04A5" w:rsidRDefault="00AA04A5" w:rsidP="00CA5DF4">
            <w:r>
              <w:t>n 88648790</w:t>
            </w:r>
          </w:p>
        </w:tc>
        <w:tc>
          <w:tcPr>
            <w:tcW w:w="720" w:type="dxa"/>
          </w:tcPr>
          <w:p w:rsidR="00AA04A5" w:rsidRDefault="00AA04A5" w:rsidP="00CA5DF4">
            <w:r>
              <w:t>0</w:t>
            </w:r>
          </w:p>
        </w:tc>
        <w:tc>
          <w:tcPr>
            <w:tcW w:w="7308" w:type="dxa"/>
          </w:tcPr>
          <w:p w:rsidR="00AA04A5" w:rsidRDefault="00AA04A5" w:rsidP="00CA5DF4">
            <w:r>
              <w:t xml:space="preserve">$a </w:t>
            </w:r>
            <w:r w:rsidRPr="00AA04A5">
              <w:t xml:space="preserve">C. Riley Nelson (born 1956) is a biology professor in Utah. </w:t>
            </w:r>
            <w:r>
              <w:t>$</w:t>
            </w:r>
            <w:r w:rsidRPr="00AA04A5">
              <w:t>b Charles Riley Nelson graduated from high school from Box Elder High School in Brigham City, Utah in 1974. He attended Utah State University, graduating in 1980 with his Bachelor's of Science in Biology and obtained his Master's of Science in Biology in 1984. He obtained his PhD in Zoology in 1986 from Brigham Young University and was worked as a Tilton Postdoctoral Fellow in Entomology from the California Academy of Sciences in 1989. He was a part of the biology faculty at the University of Texas at Austin from 1989 to 1999, before coming to Brigham Young University. His research and teaching focus on biology and entomology.</w:t>
            </w:r>
          </w:p>
        </w:tc>
      </w:tr>
    </w:tbl>
    <w:p w:rsidR="00FD23B3" w:rsidRDefault="00FD23B3" w:rsidP="00CA5DF4">
      <w:pPr>
        <w:spacing w:line="240" w:lineRule="auto"/>
      </w:pPr>
    </w:p>
    <w:p w:rsidR="00341A13" w:rsidRDefault="00341A13" w:rsidP="00CA5DF4">
      <w:pPr>
        <w:spacing w:line="240" w:lineRule="auto"/>
      </w:pPr>
    </w:p>
    <w:p w:rsidR="00FD23B3" w:rsidRDefault="00FD23B3" w:rsidP="00CA5DF4">
      <w:pPr>
        <w:keepNext/>
        <w:spacing w:line="240" w:lineRule="auto"/>
      </w:pPr>
      <w:r>
        <w:rPr>
          <w:b/>
        </w:rPr>
        <w:t>The problem</w:t>
      </w:r>
    </w:p>
    <w:p w:rsidR="00FD23B3" w:rsidRDefault="00FD23B3" w:rsidP="00CA5DF4">
      <w:pPr>
        <w:keepNext/>
        <w:spacing w:line="240" w:lineRule="auto"/>
      </w:pPr>
    </w:p>
    <w:p w:rsidR="00AB580E" w:rsidRDefault="00FD23B3" w:rsidP="00CA5DF4">
      <w:pPr>
        <w:spacing w:line="240" w:lineRule="auto"/>
      </w:pPr>
      <w:r>
        <w:t>The LC/NACO Authority File contains (by my count</w:t>
      </w:r>
      <w:r w:rsidR="0067095A">
        <w:t>, in late March 2014</w:t>
      </w:r>
      <w:r>
        <w:t>) 56,</w:t>
      </w:r>
      <w:r w:rsidR="00BF277E">
        <w:t>053</w:t>
      </w:r>
      <w:r w:rsidR="0002539F">
        <w:t xml:space="preserve"> </w:t>
      </w:r>
      <w:r>
        <w:t xml:space="preserve">instances of the 678 field. Some of these are constructed in a manner that lends </w:t>
      </w:r>
      <w:r w:rsidR="00A26BA2">
        <w:t xml:space="preserve">itself </w:t>
      </w:r>
      <w:r>
        <w:t>to public display, but many are not so constructed.</w:t>
      </w:r>
      <w:r w:rsidR="00AA04A5">
        <w:t xml:space="preserve"> The indicator values available for assignment do not distinguish between fields that are intended for public display, and those that are not. </w:t>
      </w:r>
      <w:r w:rsidR="00AB580E">
        <w:t>(</w:t>
      </w:r>
      <w:r w:rsidR="0067095A">
        <w:t>A</w:t>
      </w:r>
      <w:r w:rsidR="00AA04A5">
        <w:t xml:space="preserve">ny 678 field with a </w:t>
      </w:r>
      <w:r w:rsidR="00AB580E">
        <w:t xml:space="preserve">recently-defined </w:t>
      </w:r>
      <w:r w:rsidR="00AA04A5">
        <w:t xml:space="preserve">non-blank first indicator </w:t>
      </w:r>
      <w:r w:rsidR="0067095A">
        <w:t xml:space="preserve">can be assumed to have been intended </w:t>
      </w:r>
      <w:r w:rsidR="00AA04A5">
        <w:t>for public display, but no assumption can be made about a 678 field with a blank first indicator.</w:t>
      </w:r>
      <w:r w:rsidR="00AB580E">
        <w:t>)</w:t>
      </w:r>
      <w:r w:rsidR="00AA04A5">
        <w:t xml:space="preserve"> This </w:t>
      </w:r>
      <w:r w:rsidR="00AB580E">
        <w:t xml:space="preserve">state of things </w:t>
      </w:r>
      <w:r w:rsidR="00AA04A5">
        <w:t xml:space="preserve">means that when a program is building a public display from authority data, it cannot easily differentiate </w:t>
      </w:r>
      <w:r w:rsidR="00AA04A5">
        <w:lastRenderedPageBreak/>
        <w:t xml:space="preserve">between those uses of the 678 field that are intended for public display, and those that were not </w:t>
      </w:r>
      <w:r w:rsidR="00AB580E">
        <w:t>intended for public display: the program must either display everything with a blank first indicator, or nothing.</w:t>
      </w:r>
    </w:p>
    <w:p w:rsidR="00AB580E" w:rsidRDefault="00AB580E" w:rsidP="00CA5DF4">
      <w:pPr>
        <w:spacing w:line="240" w:lineRule="auto"/>
      </w:pPr>
    </w:p>
    <w:p w:rsidR="00BF277E" w:rsidRDefault="00BF277E" w:rsidP="00CA5DF4">
      <w:pPr>
        <w:spacing w:line="240" w:lineRule="auto"/>
      </w:pPr>
    </w:p>
    <w:p w:rsidR="00BF277E" w:rsidRDefault="00BF277E" w:rsidP="00CA5DF4">
      <w:pPr>
        <w:keepNext/>
        <w:spacing w:line="240" w:lineRule="auto"/>
      </w:pPr>
      <w:r>
        <w:rPr>
          <w:b/>
        </w:rPr>
        <w:t>Approach</w:t>
      </w:r>
    </w:p>
    <w:p w:rsidR="00BF277E" w:rsidRPr="00BF277E" w:rsidRDefault="00BF277E" w:rsidP="00CA5DF4">
      <w:pPr>
        <w:keepNext/>
        <w:spacing w:line="240" w:lineRule="auto"/>
      </w:pPr>
    </w:p>
    <w:p w:rsidR="00AB580E" w:rsidRDefault="00AB580E" w:rsidP="00CA5DF4">
      <w:pPr>
        <w:spacing w:line="240" w:lineRule="auto"/>
      </w:pPr>
      <w:r>
        <w:t xml:space="preserve">One solution to this problem </w:t>
      </w:r>
      <w:r w:rsidR="00677DB6">
        <w:t xml:space="preserve">is </w:t>
      </w:r>
      <w:r>
        <w:t xml:space="preserve">to modify in some manner those 678 fields that appear not to have been intended for public display, so that </w:t>
      </w:r>
      <w:r w:rsidR="00A26BA2">
        <w:t xml:space="preserve">the remainder, </w:t>
      </w:r>
      <w:r w:rsidR="009C3FF7">
        <w:t>suitable</w:t>
      </w:r>
      <w:r>
        <w:t xml:space="preserve"> for public display</w:t>
      </w:r>
      <w:r w:rsidR="00A26BA2">
        <w:t>,</w:t>
      </w:r>
      <w:r>
        <w:t xml:space="preserve"> can be identified</w:t>
      </w:r>
      <w:r w:rsidR="00A26BA2">
        <w:t xml:space="preserve"> unambiguously</w:t>
      </w:r>
      <w:r>
        <w:t>. Several small-scale projects have in the past taken the course of re-tagging 678 fields as 670 fields, with explanatory text identifying the source of the data.</w:t>
      </w:r>
      <w:r w:rsidR="0002539F">
        <w:t xml:space="preserve"> </w:t>
      </w:r>
      <w:r w:rsidR="00BF277E">
        <w:t xml:space="preserve">This removes the data from the 678 field altogether, so it cannot be the source of difficulty in a public display. </w:t>
      </w:r>
      <w:r w:rsidR="0002539F">
        <w:t>Here are some examples:</w:t>
      </w:r>
    </w:p>
    <w:p w:rsidR="0002539F" w:rsidRDefault="0002539F" w:rsidP="00CA5DF4">
      <w:pPr>
        <w:spacing w:line="240" w:lineRule="auto"/>
      </w:pPr>
    </w:p>
    <w:tbl>
      <w:tblPr>
        <w:tblStyle w:val="TableGrid"/>
        <w:tblW w:w="0" w:type="auto"/>
        <w:tblLook w:val="04A0"/>
      </w:tblPr>
      <w:tblGrid>
        <w:gridCol w:w="1548"/>
        <w:gridCol w:w="7920"/>
      </w:tblGrid>
      <w:tr w:rsidR="0002539F" w:rsidTr="0002539F">
        <w:tc>
          <w:tcPr>
            <w:tcW w:w="1548" w:type="dxa"/>
          </w:tcPr>
          <w:p w:rsidR="0002539F" w:rsidRPr="006D3AA0" w:rsidRDefault="0002539F" w:rsidP="00CA5DF4">
            <w:pPr>
              <w:rPr>
                <w:b/>
              </w:rPr>
            </w:pPr>
            <w:r w:rsidRPr="006D3AA0">
              <w:rPr>
                <w:b/>
              </w:rPr>
              <w:t>LCCN</w:t>
            </w:r>
          </w:p>
        </w:tc>
        <w:tc>
          <w:tcPr>
            <w:tcW w:w="7920" w:type="dxa"/>
          </w:tcPr>
          <w:p w:rsidR="0002539F" w:rsidRPr="006D3AA0" w:rsidRDefault="0002539F" w:rsidP="00CA5DF4">
            <w:pPr>
              <w:rPr>
                <w:b/>
              </w:rPr>
            </w:pPr>
            <w:r w:rsidRPr="006D3AA0">
              <w:rPr>
                <w:b/>
              </w:rPr>
              <w:t>67</w:t>
            </w:r>
            <w:r>
              <w:rPr>
                <w:b/>
              </w:rPr>
              <w:t>0</w:t>
            </w:r>
            <w:r w:rsidRPr="006D3AA0">
              <w:rPr>
                <w:b/>
              </w:rPr>
              <w:t xml:space="preserve"> field</w:t>
            </w:r>
          </w:p>
        </w:tc>
      </w:tr>
      <w:tr w:rsidR="0002539F" w:rsidTr="0002539F">
        <w:tc>
          <w:tcPr>
            <w:tcW w:w="1548" w:type="dxa"/>
          </w:tcPr>
          <w:p w:rsidR="0002539F" w:rsidRDefault="0002539F" w:rsidP="00CA5DF4">
            <w:r>
              <w:t>n 00063515</w:t>
            </w:r>
          </w:p>
        </w:tc>
        <w:tc>
          <w:tcPr>
            <w:tcW w:w="7920" w:type="dxa"/>
          </w:tcPr>
          <w:p w:rsidR="0002539F" w:rsidRDefault="0002539F" w:rsidP="00CA5DF4">
            <w:r>
              <w:t>$</w:t>
            </w:r>
            <w:proofErr w:type="gramStart"/>
            <w:r>
              <w:t>a</w:t>
            </w:r>
            <w:proofErr w:type="gramEnd"/>
            <w:r>
              <w:t xml:space="preserve"> Info. from 678 field, 2014-02-10 $b (Died 1958)</w:t>
            </w:r>
          </w:p>
        </w:tc>
      </w:tr>
      <w:tr w:rsidR="0002539F" w:rsidTr="0002539F">
        <w:tc>
          <w:tcPr>
            <w:tcW w:w="1548" w:type="dxa"/>
          </w:tcPr>
          <w:p w:rsidR="0002539F" w:rsidRDefault="0002539F" w:rsidP="00CA5DF4">
            <w:r>
              <w:t>n  50046701</w:t>
            </w:r>
          </w:p>
        </w:tc>
        <w:tc>
          <w:tcPr>
            <w:tcW w:w="7920" w:type="dxa"/>
          </w:tcPr>
          <w:p w:rsidR="0002539F" w:rsidRDefault="0002539F" w:rsidP="00CA5DF4">
            <w:r>
              <w:t>$</w:t>
            </w:r>
            <w:proofErr w:type="gramStart"/>
            <w:r>
              <w:t>a</w:t>
            </w:r>
            <w:proofErr w:type="gramEnd"/>
            <w:r>
              <w:t xml:space="preserve"> Info. from 678 field, 2014-02-11 $b (b. 1903)</w:t>
            </w:r>
          </w:p>
        </w:tc>
      </w:tr>
      <w:tr w:rsidR="0002539F" w:rsidTr="0002539F">
        <w:tc>
          <w:tcPr>
            <w:tcW w:w="1548" w:type="dxa"/>
          </w:tcPr>
          <w:p w:rsidR="0002539F" w:rsidRDefault="0002539F" w:rsidP="00CA5DF4">
            <w:r>
              <w:t>n 50019564</w:t>
            </w:r>
          </w:p>
        </w:tc>
        <w:tc>
          <w:tcPr>
            <w:tcW w:w="7920" w:type="dxa"/>
          </w:tcPr>
          <w:p w:rsidR="0002539F" w:rsidRDefault="0002539F" w:rsidP="00CA5DF4">
            <w:r>
              <w:t>$</w:t>
            </w:r>
            <w:proofErr w:type="gramStart"/>
            <w:r>
              <w:t>a</w:t>
            </w:r>
            <w:proofErr w:type="gramEnd"/>
            <w:r>
              <w:t xml:space="preserve"> Info. from 678 field, Oct. 20, 2012 $b (born 1924; </w:t>
            </w:r>
            <w:proofErr w:type="spellStart"/>
            <w:r>
              <w:t>docteur</w:t>
            </w:r>
            <w:proofErr w:type="spellEnd"/>
            <w:r>
              <w:t xml:space="preserve"> </w:t>
            </w:r>
            <w:proofErr w:type="spellStart"/>
            <w:r>
              <w:t>ès</w:t>
            </w:r>
            <w:proofErr w:type="spellEnd"/>
            <w:r>
              <w:t xml:space="preserve"> letters)</w:t>
            </w:r>
          </w:p>
        </w:tc>
      </w:tr>
    </w:tbl>
    <w:p w:rsidR="0002539F" w:rsidRDefault="0002539F" w:rsidP="00CA5DF4">
      <w:pPr>
        <w:spacing w:line="240" w:lineRule="auto"/>
      </w:pPr>
    </w:p>
    <w:p w:rsidR="006A33E6" w:rsidRDefault="00A26BA2" w:rsidP="00CA5DF4">
      <w:pPr>
        <w:spacing w:line="240" w:lineRule="auto"/>
      </w:pPr>
      <w:r>
        <w:t xml:space="preserve">This approach (with slight changes to the wording of the standard text) continues to be acceptable to the Policy Standards Division at the Library of Congress. </w:t>
      </w:r>
      <w:r w:rsidR="00677DB6">
        <w:t>T</w:t>
      </w:r>
      <w:r w:rsidR="00FB15F3">
        <w:t xml:space="preserve">he </w:t>
      </w:r>
      <w:r>
        <w:t xml:space="preserve">remaining </w:t>
      </w:r>
      <w:r w:rsidR="00677DB6">
        <w:t xml:space="preserve">part of the </w:t>
      </w:r>
      <w:r>
        <w:t xml:space="preserve">problem is identifying </w:t>
      </w:r>
      <w:r w:rsidRPr="00E25213">
        <w:rPr>
          <w:i/>
        </w:rPr>
        <w:t>by program</w:t>
      </w:r>
      <w:r>
        <w:t xml:space="preserve"> those 678 fields that are and are not </w:t>
      </w:r>
      <w:r w:rsidR="00FB15F3">
        <w:t xml:space="preserve">suitable for public display. </w:t>
      </w:r>
      <w:r w:rsidR="006A33E6">
        <w:t xml:space="preserve">Substantial exploration into this matter by the RDA Phase 3 Work Group indicates that most 678 fields can be sorted by program into </w:t>
      </w:r>
      <w:r>
        <w:t xml:space="preserve">two </w:t>
      </w:r>
      <w:r w:rsidR="006A33E6">
        <w:t>categories: those that should be reformulated as 670 fields, and those that may remain as 678 fields.</w:t>
      </w:r>
    </w:p>
    <w:p w:rsidR="006A33E6" w:rsidRDefault="006A33E6" w:rsidP="00CA5DF4">
      <w:pPr>
        <w:spacing w:line="240" w:lineRule="auto"/>
      </w:pPr>
    </w:p>
    <w:p w:rsidR="006A33E6" w:rsidRDefault="006A33E6" w:rsidP="00CA5DF4">
      <w:pPr>
        <w:spacing w:line="240" w:lineRule="auto"/>
      </w:pPr>
      <w:r>
        <w:t>Here are the criteria we have devised</w:t>
      </w:r>
      <w:r w:rsidR="00A26BA2">
        <w:t xml:space="preserve"> to achieve the major part of this work. T</w:t>
      </w:r>
      <w:r w:rsidR="00221CFC">
        <w:t xml:space="preserve">he tests are to be applied in </w:t>
      </w:r>
      <w:r w:rsidR="00A26BA2">
        <w:t xml:space="preserve">the </w:t>
      </w:r>
      <w:r w:rsidR="00221CFC">
        <w:t>order</w:t>
      </w:r>
      <w:r w:rsidR="00A26BA2">
        <w:t xml:space="preserve"> given here.</w:t>
      </w:r>
    </w:p>
    <w:p w:rsidR="006A33E6" w:rsidRDefault="006A33E6" w:rsidP="00CA5DF4">
      <w:pPr>
        <w:spacing w:line="240" w:lineRule="auto"/>
      </w:pPr>
    </w:p>
    <w:p w:rsidR="006A33E6" w:rsidRDefault="006A33E6" w:rsidP="006A33E6">
      <w:pPr>
        <w:pStyle w:val="ListParagraph"/>
        <w:numPr>
          <w:ilvl w:val="0"/>
          <w:numId w:val="6"/>
        </w:numPr>
        <w:spacing w:line="240" w:lineRule="auto"/>
      </w:pPr>
      <w:r>
        <w:t>If the first indicator is not blank, retain the 678 field</w:t>
      </w:r>
    </w:p>
    <w:p w:rsidR="006A33E6" w:rsidRDefault="006A33E6" w:rsidP="006A33E6">
      <w:pPr>
        <w:pStyle w:val="ListParagraph"/>
        <w:numPr>
          <w:ilvl w:val="0"/>
          <w:numId w:val="6"/>
        </w:numPr>
        <w:spacing w:line="240" w:lineRule="auto"/>
      </w:pPr>
      <w:r>
        <w:t>If the 005 field in the copy of the authority record residing at the Library of Congress is dated earlier than 2011, re-formulate the 678 field as a 670 field.</w:t>
      </w:r>
      <w:r>
        <w:rPr>
          <w:rStyle w:val="FootnoteReference"/>
        </w:rPr>
        <w:footnoteReference w:id="5"/>
      </w:r>
      <w:r>
        <w:t xml:space="preserve"> Similarly, if the date </w:t>
      </w:r>
      <w:r w:rsidR="00677DB6">
        <w:t xml:space="preserve">in the 005 field </w:t>
      </w:r>
      <w:r>
        <w:t>is later than April 15, 2014, retain the 678 field.</w:t>
      </w:r>
      <w:r>
        <w:rPr>
          <w:rStyle w:val="FootnoteReference"/>
        </w:rPr>
        <w:footnoteReference w:id="6"/>
      </w:r>
    </w:p>
    <w:p w:rsidR="006A33E6" w:rsidRDefault="006A33E6" w:rsidP="006A33E6">
      <w:pPr>
        <w:pStyle w:val="ListParagraph"/>
        <w:numPr>
          <w:ilvl w:val="0"/>
          <w:numId w:val="6"/>
        </w:numPr>
        <w:spacing w:line="240" w:lineRule="auto"/>
      </w:pPr>
      <w:r>
        <w:t>If the 678 field contains subfield $b</w:t>
      </w:r>
      <w:r w:rsidR="00221CFC">
        <w:t xml:space="preserve">, retain the 678 field (all existing 678 fields containing subfield $b have now been reviewed, and </w:t>
      </w:r>
      <w:r w:rsidR="00677DB6">
        <w:t xml:space="preserve">the old-style fields </w:t>
      </w:r>
      <w:r w:rsidR="00221CFC">
        <w:t>re-coded as 670)</w:t>
      </w:r>
    </w:p>
    <w:p w:rsidR="00221CFC" w:rsidRDefault="00221CFC" w:rsidP="006A33E6">
      <w:pPr>
        <w:pStyle w:val="ListParagraph"/>
        <w:numPr>
          <w:ilvl w:val="0"/>
          <w:numId w:val="6"/>
        </w:numPr>
        <w:spacing w:line="240" w:lineRule="auto"/>
      </w:pPr>
      <w:r>
        <w:t>If the text in 678 subfield $a is longer than 110 characters, retain the 678 field</w:t>
      </w:r>
    </w:p>
    <w:p w:rsidR="00221CFC" w:rsidRDefault="00221CFC" w:rsidP="006A33E6">
      <w:pPr>
        <w:pStyle w:val="ListParagraph"/>
        <w:numPr>
          <w:ilvl w:val="0"/>
          <w:numId w:val="6"/>
        </w:numPr>
        <w:spacing w:line="240" w:lineRule="auto"/>
      </w:pPr>
      <w:r>
        <w:t>If the 678 field contains more than one occurrence of subfield $a, reformulate the field as 670</w:t>
      </w:r>
    </w:p>
    <w:p w:rsidR="00221CFC" w:rsidRDefault="00221CFC" w:rsidP="006A33E6">
      <w:pPr>
        <w:pStyle w:val="ListParagraph"/>
        <w:numPr>
          <w:ilvl w:val="0"/>
          <w:numId w:val="6"/>
        </w:numPr>
        <w:spacing w:line="240" w:lineRule="auto"/>
      </w:pPr>
      <w:r>
        <w:t>If 678 $a contains "is" or "was", retain the 678 field</w:t>
      </w:r>
    </w:p>
    <w:p w:rsidR="00221CFC" w:rsidRDefault="00221CFC" w:rsidP="006A33E6">
      <w:pPr>
        <w:pStyle w:val="ListParagraph"/>
        <w:numPr>
          <w:ilvl w:val="0"/>
          <w:numId w:val="6"/>
        </w:numPr>
        <w:spacing w:line="240" w:lineRule="auto"/>
      </w:pPr>
      <w:r>
        <w:t>If 678 $a begins "The", retain the 678 field</w:t>
      </w:r>
    </w:p>
    <w:p w:rsidR="00221CFC" w:rsidRDefault="00221CFC" w:rsidP="006A33E6">
      <w:pPr>
        <w:pStyle w:val="ListParagraph"/>
        <w:numPr>
          <w:ilvl w:val="0"/>
          <w:numId w:val="6"/>
        </w:numPr>
        <w:spacing w:line="240" w:lineRule="auto"/>
      </w:pPr>
      <w:r>
        <w:t>If 678 $a contains only numerals and punctuation</w:t>
      </w:r>
      <w:r w:rsidR="004171DE">
        <w:t xml:space="preserve"> (allowing for accompanying texts such as "B.C.", "organized" and "held")</w:t>
      </w:r>
      <w:r>
        <w:t>, reformulate the 678 field as 670</w:t>
      </w:r>
    </w:p>
    <w:p w:rsidR="00221CFC" w:rsidRDefault="00221CFC" w:rsidP="006A33E6">
      <w:pPr>
        <w:pStyle w:val="ListParagraph"/>
        <w:numPr>
          <w:ilvl w:val="0"/>
          <w:numId w:val="6"/>
        </w:numPr>
        <w:spacing w:line="240" w:lineRule="auto"/>
      </w:pPr>
      <w:r>
        <w:t>If 678 $a contains only abbreviations, reformulate the 678 field as 670</w:t>
      </w:r>
    </w:p>
    <w:p w:rsidR="00221CFC" w:rsidRDefault="00221CFC" w:rsidP="006A33E6">
      <w:pPr>
        <w:pStyle w:val="ListParagraph"/>
        <w:numPr>
          <w:ilvl w:val="0"/>
          <w:numId w:val="6"/>
        </w:numPr>
        <w:spacing w:line="240" w:lineRule="auto"/>
      </w:pPr>
      <w:r>
        <w:t>If 678 $a begins "approved by BGN", "cannot identify", "full", "name, "AACR", "Linked in" or "PhD" (normalized comparisons), reformulate the 678 field as 670</w:t>
      </w:r>
    </w:p>
    <w:p w:rsidR="00221CFC" w:rsidRDefault="00221CFC" w:rsidP="006A33E6">
      <w:pPr>
        <w:pStyle w:val="ListParagraph"/>
        <w:numPr>
          <w:ilvl w:val="0"/>
          <w:numId w:val="6"/>
        </w:numPr>
        <w:spacing w:line="240" w:lineRule="auto"/>
      </w:pPr>
      <w:r>
        <w:t>If 678 $a contains only a roman numeral, reformulate the 678 field as 670</w:t>
      </w:r>
    </w:p>
    <w:p w:rsidR="00221CFC" w:rsidRDefault="00221CFC" w:rsidP="006A33E6">
      <w:pPr>
        <w:pStyle w:val="ListParagraph"/>
        <w:numPr>
          <w:ilvl w:val="0"/>
          <w:numId w:val="6"/>
        </w:numPr>
        <w:spacing w:line="240" w:lineRule="auto"/>
      </w:pPr>
      <w:r>
        <w:t xml:space="preserve">If all of the alphabetic characters in 678 $a </w:t>
      </w:r>
      <w:proofErr w:type="spellStart"/>
      <w:r>
        <w:t>are</w:t>
      </w:r>
      <w:proofErr w:type="spellEnd"/>
      <w:r>
        <w:t xml:space="preserve"> upper-case letters, reformulate the 678 field as 670</w:t>
      </w:r>
    </w:p>
    <w:p w:rsidR="00221CFC" w:rsidRDefault="00221CFC" w:rsidP="006A33E6">
      <w:pPr>
        <w:pStyle w:val="ListParagraph"/>
        <w:numPr>
          <w:ilvl w:val="0"/>
          <w:numId w:val="6"/>
        </w:numPr>
        <w:spacing w:line="240" w:lineRule="auto"/>
      </w:pPr>
      <w:r>
        <w:t>If the entire 678 $a consists of "DR", "D R", D R MED", or begins "DR " (normalized comparisons)</w:t>
      </w:r>
      <w:r w:rsidRPr="00221CFC">
        <w:t xml:space="preserve"> </w:t>
      </w:r>
      <w:r>
        <w:t>, reformulate the 678 field as 670</w:t>
      </w:r>
    </w:p>
    <w:p w:rsidR="006A33E6" w:rsidRDefault="006A33E6" w:rsidP="00CA5DF4">
      <w:pPr>
        <w:spacing w:line="240" w:lineRule="auto"/>
      </w:pPr>
    </w:p>
    <w:p w:rsidR="00221CFC" w:rsidRDefault="00221CFC" w:rsidP="00CA5DF4">
      <w:pPr>
        <w:spacing w:line="240" w:lineRule="auto"/>
      </w:pPr>
      <w:r>
        <w:t xml:space="preserve">At the time these tests were devised, they accounted for all but about 6,700 of the existing 678 fields. These </w:t>
      </w:r>
      <w:r w:rsidR="00677DB6">
        <w:t xml:space="preserve">remaining </w:t>
      </w:r>
      <w:r>
        <w:t>fields were subjected to careful review by members of the work group, which resulted in their being placed into one of four categories:</w:t>
      </w:r>
    </w:p>
    <w:p w:rsidR="00221CFC" w:rsidRDefault="00221CFC" w:rsidP="00CA5DF4">
      <w:pPr>
        <w:spacing w:line="240" w:lineRule="auto"/>
      </w:pPr>
    </w:p>
    <w:p w:rsidR="00221CFC" w:rsidRDefault="00221CFC" w:rsidP="00221CFC">
      <w:pPr>
        <w:pStyle w:val="ListParagraph"/>
        <w:numPr>
          <w:ilvl w:val="0"/>
          <w:numId w:val="7"/>
        </w:numPr>
        <w:spacing w:line="240" w:lineRule="auto"/>
      </w:pPr>
      <w:r>
        <w:t>Retain as 678</w:t>
      </w:r>
    </w:p>
    <w:p w:rsidR="00221CFC" w:rsidRDefault="00221CFC" w:rsidP="00221CFC">
      <w:pPr>
        <w:pStyle w:val="ListParagraph"/>
        <w:numPr>
          <w:ilvl w:val="0"/>
          <w:numId w:val="7"/>
        </w:numPr>
        <w:spacing w:line="240" w:lineRule="auto"/>
      </w:pPr>
      <w:r>
        <w:t>Reformulate as 670</w:t>
      </w:r>
    </w:p>
    <w:p w:rsidR="00221CFC" w:rsidRDefault="00221CFC" w:rsidP="00221CFC">
      <w:pPr>
        <w:pStyle w:val="ListParagraph"/>
        <w:numPr>
          <w:ilvl w:val="0"/>
          <w:numId w:val="7"/>
        </w:numPr>
        <w:spacing w:line="240" w:lineRule="auto"/>
      </w:pPr>
      <w:r>
        <w:t>Reformulate as 667</w:t>
      </w:r>
    </w:p>
    <w:p w:rsidR="00221CFC" w:rsidRDefault="00221CFC" w:rsidP="00221CFC">
      <w:pPr>
        <w:pStyle w:val="ListParagraph"/>
        <w:numPr>
          <w:ilvl w:val="0"/>
          <w:numId w:val="7"/>
        </w:numPr>
        <w:spacing w:line="240" w:lineRule="auto"/>
      </w:pPr>
      <w:r>
        <w:t>Delete</w:t>
      </w:r>
      <w:r>
        <w:rPr>
          <w:rStyle w:val="FootnoteReference"/>
        </w:rPr>
        <w:footnoteReference w:id="7"/>
      </w:r>
    </w:p>
    <w:p w:rsidR="00221CFC" w:rsidRDefault="00221CFC" w:rsidP="00CA5DF4">
      <w:pPr>
        <w:spacing w:line="240" w:lineRule="auto"/>
      </w:pPr>
    </w:p>
    <w:p w:rsidR="000F3153" w:rsidRDefault="00A23172" w:rsidP="006418F0">
      <w:pPr>
        <w:spacing w:line="240" w:lineRule="auto"/>
        <w:rPr>
          <w:szCs w:val="20"/>
        </w:rPr>
      </w:pPr>
      <w:r>
        <w:rPr>
          <w:szCs w:val="20"/>
        </w:rPr>
        <w:t>T</w:t>
      </w:r>
      <w:r w:rsidR="004171DE">
        <w:rPr>
          <w:szCs w:val="20"/>
        </w:rPr>
        <w:t xml:space="preserve">he 678 fields in this last group that need to be reformulated or deleted have now been </w:t>
      </w:r>
      <w:r>
        <w:rPr>
          <w:szCs w:val="20"/>
        </w:rPr>
        <w:t xml:space="preserve">appropriately </w:t>
      </w:r>
      <w:r w:rsidR="004171DE">
        <w:rPr>
          <w:szCs w:val="20"/>
        </w:rPr>
        <w:t xml:space="preserve">handled. This means that all remaining 678 fields can be recognized well enough </w:t>
      </w:r>
      <w:r w:rsidR="00677DB6">
        <w:rPr>
          <w:szCs w:val="20"/>
        </w:rPr>
        <w:t xml:space="preserve">by the tests devised by the work group to declare them </w:t>
      </w:r>
      <w:r w:rsidR="004171DE">
        <w:rPr>
          <w:szCs w:val="20"/>
        </w:rPr>
        <w:t xml:space="preserve">either valid for continued use as 678 </w:t>
      </w:r>
      <w:proofErr w:type="gramStart"/>
      <w:r w:rsidR="004171DE">
        <w:rPr>
          <w:szCs w:val="20"/>
        </w:rPr>
        <w:t>fields,</w:t>
      </w:r>
      <w:proofErr w:type="gramEnd"/>
      <w:r w:rsidR="004171DE">
        <w:rPr>
          <w:szCs w:val="20"/>
        </w:rPr>
        <w:t xml:space="preserve"> or suitable for reformulation as 670 fields.</w:t>
      </w:r>
      <w:r>
        <w:rPr>
          <w:szCs w:val="20"/>
        </w:rPr>
        <w:t xml:space="preserve"> When time comes to perform the Phase 3 work, the remaining 678 fields can all be handled correctly by program (left alone, or reformulated as 670).</w:t>
      </w:r>
    </w:p>
    <w:p w:rsidR="004171DE" w:rsidRPr="004171DE" w:rsidRDefault="004171DE" w:rsidP="000F3153">
      <w:pPr>
        <w:rPr>
          <w:szCs w:val="20"/>
        </w:rPr>
      </w:pPr>
    </w:p>
    <w:p w:rsidR="000F3153" w:rsidRPr="000F3153" w:rsidRDefault="000F3153" w:rsidP="000F3153">
      <w:pPr>
        <w:rPr>
          <w:b/>
          <w:szCs w:val="20"/>
        </w:rPr>
      </w:pPr>
    </w:p>
    <w:p w:rsidR="000F3153" w:rsidRPr="000F3153" w:rsidRDefault="000F3153" w:rsidP="000F3153">
      <w:pPr>
        <w:ind w:left="360"/>
        <w:rPr>
          <w:b/>
          <w:szCs w:val="20"/>
        </w:rPr>
      </w:pPr>
    </w:p>
    <w:p w:rsidR="00341A13" w:rsidRPr="000F3153" w:rsidRDefault="000F3153" w:rsidP="000F3153">
      <w:pPr>
        <w:ind w:left="360"/>
        <w:rPr>
          <w:b/>
          <w:sz w:val="24"/>
          <w:szCs w:val="24"/>
        </w:rPr>
      </w:pPr>
      <w:r w:rsidRPr="000F3153">
        <w:rPr>
          <w:b/>
          <w:szCs w:val="20"/>
        </w:rPr>
        <w:br w:type="column"/>
      </w:r>
      <w:r w:rsidR="00FD23B3" w:rsidRPr="000F3153">
        <w:rPr>
          <w:b/>
          <w:sz w:val="24"/>
          <w:szCs w:val="24"/>
        </w:rPr>
        <w:t>Appendix: Current definition of the 678 field</w:t>
      </w:r>
    </w:p>
    <w:p w:rsidR="00341A13" w:rsidRDefault="00341A13" w:rsidP="00FD23B3">
      <w:pPr>
        <w:pStyle w:val="Heading1"/>
        <w:jc w:val="left"/>
      </w:pPr>
      <w:r>
        <w:t>678 - Biographical or Historical Data (R)</w:t>
      </w:r>
    </w:p>
    <w:p w:rsidR="00341A13" w:rsidRDefault="002671F5" w:rsidP="00FD23B3">
      <w:r>
        <w:pict>
          <v:rect id="_x0000_i1025" style="width:0;height:1.5pt" o:hrstd="t" o:hr="t" fillcolor="gray" stroked="f"/>
        </w:pict>
      </w:r>
    </w:p>
    <w:p w:rsidR="00341A13" w:rsidRDefault="00341A13" w:rsidP="00FD23B3">
      <w:pPr>
        <w:rPr>
          <w:rFonts w:ascii="Arial" w:hAnsi="Arial" w:cs="Arial"/>
          <w:b/>
          <w:bCs/>
        </w:rPr>
      </w:pPr>
      <w:r>
        <w:rPr>
          <w:rFonts w:ascii="Arial" w:hAnsi="Arial" w:cs="Arial"/>
          <w:b/>
          <w:bCs/>
        </w:rPr>
        <w:t xml:space="preserve">MARC 21 </w:t>
      </w:r>
      <w:proofErr w:type="gramStart"/>
      <w:r>
        <w:rPr>
          <w:rFonts w:ascii="Arial" w:hAnsi="Arial" w:cs="Arial"/>
          <w:b/>
          <w:bCs/>
        </w:rPr>
        <w:t>Authority</w:t>
      </w:r>
      <w:proofErr w:type="gramEnd"/>
      <w:r>
        <w:rPr>
          <w:rFonts w:ascii="Arial" w:hAnsi="Arial" w:cs="Arial"/>
          <w:b/>
          <w:bCs/>
        </w:rPr>
        <w:t xml:space="preserve"> - Full</w:t>
      </w:r>
    </w:p>
    <w:p w:rsidR="00341A13" w:rsidRDefault="00341A13" w:rsidP="00FD23B3">
      <w:pPr>
        <w:rPr>
          <w:rFonts w:ascii="Arial" w:hAnsi="Arial" w:cs="Arial"/>
          <w:b/>
          <w:bCs/>
        </w:rPr>
      </w:pPr>
      <w:r>
        <w:rPr>
          <w:rFonts w:ascii="Arial" w:hAnsi="Arial" w:cs="Arial"/>
          <w:b/>
          <w:bCs/>
        </w:rPr>
        <w:t>October 2001</w:t>
      </w:r>
    </w:p>
    <w:p w:rsidR="00341A13" w:rsidRDefault="002671F5" w:rsidP="00FD23B3">
      <w:r>
        <w:pict>
          <v:rect id="_x0000_i1026" style="width:0;height:1.5pt" o:hrstd="t" o:hr="t" fillcolor="gray" stroked="f"/>
        </w:pict>
      </w:r>
    </w:p>
    <w:tbl>
      <w:tblPr>
        <w:tblW w:w="5000" w:type="pct"/>
        <w:tblCellSpacing w:w="15" w:type="dxa"/>
        <w:tblCellMar>
          <w:top w:w="15" w:type="dxa"/>
          <w:left w:w="15" w:type="dxa"/>
          <w:bottom w:w="15" w:type="dxa"/>
          <w:right w:w="15" w:type="dxa"/>
        </w:tblCellMar>
        <w:tblLook w:val="04A0"/>
      </w:tblPr>
      <w:tblGrid>
        <w:gridCol w:w="4725"/>
        <w:gridCol w:w="4725"/>
      </w:tblGrid>
      <w:tr w:rsidR="00341A13" w:rsidTr="00341A13">
        <w:trPr>
          <w:tblCellSpacing w:w="15" w:type="dxa"/>
        </w:trPr>
        <w:tc>
          <w:tcPr>
            <w:tcW w:w="2250" w:type="pct"/>
            <w:hideMark/>
          </w:tcPr>
          <w:p w:rsidR="00341A13" w:rsidRDefault="00341A13" w:rsidP="00FD23B3">
            <w:pPr>
              <w:spacing w:after="240"/>
              <w:rPr>
                <w:sz w:val="24"/>
                <w:szCs w:val="24"/>
              </w:rPr>
            </w:pPr>
            <w:r>
              <w:rPr>
                <w:rStyle w:val="Strong"/>
              </w:rPr>
              <w:t>First Indicator</w:t>
            </w:r>
            <w:r>
              <w:br/>
            </w:r>
            <w:r>
              <w:rPr>
                <w:rStyle w:val="Emphasis"/>
              </w:rPr>
              <w:t>Type of data</w:t>
            </w:r>
            <w:r>
              <w:br/>
              <w:t xml:space="preserve"># - No information provided </w:t>
            </w:r>
            <w:r>
              <w:br/>
              <w:t xml:space="preserve">0 - Biographical sketch </w:t>
            </w:r>
            <w:r>
              <w:br/>
              <w:t xml:space="preserve">1 - Administrative history </w:t>
            </w:r>
          </w:p>
        </w:tc>
        <w:tc>
          <w:tcPr>
            <w:tcW w:w="2250" w:type="pct"/>
            <w:hideMark/>
          </w:tcPr>
          <w:p w:rsidR="00341A13" w:rsidRDefault="00341A13" w:rsidP="00FD23B3">
            <w:pPr>
              <w:spacing w:after="240"/>
              <w:rPr>
                <w:sz w:val="24"/>
                <w:szCs w:val="24"/>
              </w:rPr>
            </w:pPr>
            <w:r>
              <w:rPr>
                <w:rStyle w:val="Strong"/>
              </w:rPr>
              <w:t>Second Indicator</w:t>
            </w:r>
            <w:r>
              <w:br/>
            </w:r>
            <w:r>
              <w:rPr>
                <w:rStyle w:val="Emphasis"/>
              </w:rPr>
              <w:t>Undefined</w:t>
            </w:r>
            <w:r>
              <w:br/>
              <w:t xml:space="preserve"># - Undefined </w:t>
            </w:r>
          </w:p>
        </w:tc>
      </w:tr>
    </w:tbl>
    <w:p w:rsidR="00341A13" w:rsidRDefault="002671F5" w:rsidP="00FD23B3">
      <w:r>
        <w:pict>
          <v:rect id="_x0000_i1027" style="width:0;height:1.5pt" o:hrstd="t" o:hr="t" fillcolor="gray" stroked="f"/>
        </w:pict>
      </w:r>
    </w:p>
    <w:tbl>
      <w:tblPr>
        <w:tblW w:w="5000" w:type="pct"/>
        <w:tblCellSpacing w:w="15" w:type="dxa"/>
        <w:tblCellMar>
          <w:top w:w="15" w:type="dxa"/>
          <w:left w:w="15" w:type="dxa"/>
          <w:bottom w:w="15" w:type="dxa"/>
          <w:right w:w="15" w:type="dxa"/>
        </w:tblCellMar>
        <w:tblLook w:val="04A0"/>
      </w:tblPr>
      <w:tblGrid>
        <w:gridCol w:w="4725"/>
        <w:gridCol w:w="4725"/>
      </w:tblGrid>
      <w:tr w:rsidR="00341A13" w:rsidTr="00341A13">
        <w:trPr>
          <w:tblCellSpacing w:w="15" w:type="dxa"/>
        </w:trPr>
        <w:tc>
          <w:tcPr>
            <w:tcW w:w="2500" w:type="pct"/>
            <w:hideMark/>
          </w:tcPr>
          <w:p w:rsidR="00341A13" w:rsidRDefault="00341A13" w:rsidP="00FD23B3">
            <w:pPr>
              <w:rPr>
                <w:sz w:val="24"/>
                <w:szCs w:val="24"/>
              </w:rPr>
            </w:pPr>
          </w:p>
        </w:tc>
        <w:tc>
          <w:tcPr>
            <w:tcW w:w="2500" w:type="pct"/>
            <w:hideMark/>
          </w:tcPr>
          <w:p w:rsidR="00341A13" w:rsidRDefault="00341A13" w:rsidP="00FD23B3">
            <w:pPr>
              <w:rPr>
                <w:sz w:val="24"/>
                <w:szCs w:val="24"/>
              </w:rPr>
            </w:pPr>
          </w:p>
        </w:tc>
      </w:tr>
      <w:tr w:rsidR="00341A13" w:rsidTr="00341A13">
        <w:trPr>
          <w:tblCellSpacing w:w="15" w:type="dxa"/>
        </w:trPr>
        <w:tc>
          <w:tcPr>
            <w:tcW w:w="0" w:type="auto"/>
            <w:gridSpan w:val="2"/>
            <w:hideMark/>
          </w:tcPr>
          <w:p w:rsidR="00341A13" w:rsidRDefault="00341A13" w:rsidP="00FD23B3">
            <w:pPr>
              <w:rPr>
                <w:sz w:val="24"/>
                <w:szCs w:val="24"/>
              </w:rPr>
            </w:pPr>
            <w:r>
              <w:rPr>
                <w:rStyle w:val="Strong"/>
              </w:rPr>
              <w:t>Subfield Codes</w:t>
            </w:r>
          </w:p>
        </w:tc>
      </w:tr>
      <w:tr w:rsidR="00341A13" w:rsidTr="00341A13">
        <w:trPr>
          <w:tblCellSpacing w:w="15" w:type="dxa"/>
        </w:trPr>
        <w:tc>
          <w:tcPr>
            <w:tcW w:w="0" w:type="auto"/>
            <w:hideMark/>
          </w:tcPr>
          <w:p w:rsidR="00341A13" w:rsidRDefault="00341A13" w:rsidP="00FD23B3">
            <w:pPr>
              <w:rPr>
                <w:sz w:val="24"/>
                <w:szCs w:val="24"/>
              </w:rPr>
            </w:pPr>
            <w:r>
              <w:t xml:space="preserve">$a - Biographical or historical data (R) </w:t>
            </w:r>
            <w:r>
              <w:br/>
              <w:t xml:space="preserve">$b - Expansion (NR) </w:t>
            </w:r>
            <w:r>
              <w:br/>
              <w:t xml:space="preserve">$u - Uniform Resource Identifier (R) </w:t>
            </w:r>
          </w:p>
        </w:tc>
        <w:tc>
          <w:tcPr>
            <w:tcW w:w="0" w:type="auto"/>
            <w:hideMark/>
          </w:tcPr>
          <w:p w:rsidR="00341A13" w:rsidRDefault="00341A13" w:rsidP="00FD23B3">
            <w:pPr>
              <w:rPr>
                <w:sz w:val="24"/>
                <w:szCs w:val="24"/>
              </w:rPr>
            </w:pPr>
            <w:r>
              <w:t xml:space="preserve">$6 - Linkage (NR) </w:t>
            </w:r>
            <w:r>
              <w:br/>
              <w:t xml:space="preserve">$8 - Field link and sequence number (R) </w:t>
            </w:r>
          </w:p>
        </w:tc>
      </w:tr>
    </w:tbl>
    <w:p w:rsidR="00341A13" w:rsidRDefault="002671F5" w:rsidP="00FD23B3">
      <w:r>
        <w:pict>
          <v:rect id="_x0000_i1028" style="width:0;height:1.5pt" o:hrstd="t" o:hr="t" fillcolor="gray" stroked="f"/>
        </w:pict>
      </w:r>
    </w:p>
    <w:p w:rsidR="00341A13" w:rsidRDefault="00341A13" w:rsidP="00FD23B3">
      <w:pPr>
        <w:pStyle w:val="Heading3"/>
      </w:pPr>
      <w:r>
        <w:t>FIELD DEFINITION AND SCOPE</w:t>
      </w:r>
    </w:p>
    <w:p w:rsidR="00341A13" w:rsidRDefault="00341A13" w:rsidP="00FD23B3">
      <w:pPr>
        <w:pStyle w:val="NormalWeb"/>
        <w:jc w:val="left"/>
      </w:pPr>
      <w:proofErr w:type="gramStart"/>
      <w:r>
        <w:t>Summary of the essential biographical, historical, or other information about the 1XX heading in an established heading record, an established heading and subdivision record, or a subdivision record.</w:t>
      </w:r>
      <w:proofErr w:type="gramEnd"/>
      <w:r>
        <w:t xml:space="preserve"> </w:t>
      </w:r>
    </w:p>
    <w:p w:rsidR="00341A13" w:rsidRDefault="00341A13" w:rsidP="00FD23B3">
      <w:pPr>
        <w:pStyle w:val="NormalWeb"/>
        <w:jc w:val="left"/>
      </w:pPr>
      <w:proofErr w:type="gramStart"/>
      <w:r>
        <w:t>Usually written in a form adequate for public display.</w:t>
      </w:r>
      <w:proofErr w:type="gramEnd"/>
    </w:p>
    <w:p w:rsidR="00341A13" w:rsidRDefault="002671F5" w:rsidP="00FD23B3">
      <w:r>
        <w:pict>
          <v:rect id="_x0000_i1029" style="width:0;height:1.5pt" o:hrstd="t" o:hr="t" fillcolor="gray" stroked="f"/>
        </w:pict>
      </w:r>
    </w:p>
    <w:p w:rsidR="00341A13" w:rsidRDefault="00341A13" w:rsidP="00FD23B3">
      <w:pPr>
        <w:pStyle w:val="Heading3"/>
      </w:pPr>
      <w:r>
        <w:t>GUIDELINES FOR APPLYING CONTENT DESIGNATORS</w:t>
      </w:r>
    </w:p>
    <w:p w:rsidR="00341A13" w:rsidRDefault="00341A13" w:rsidP="00FD23B3">
      <w:pPr>
        <w:pStyle w:val="Heading4"/>
      </w:pPr>
      <w:r>
        <w:rPr>
          <w:rStyle w:val="box1"/>
        </w:rPr>
        <w:t>■</w:t>
      </w:r>
      <w:r>
        <w:t xml:space="preserve"> INDICATORS </w:t>
      </w:r>
    </w:p>
    <w:p w:rsidR="00341A13" w:rsidRDefault="00341A13" w:rsidP="006418F0">
      <w:pPr>
        <w:spacing w:line="240" w:lineRule="auto"/>
      </w:pPr>
      <w:r>
        <w:rPr>
          <w:rStyle w:val="Strong"/>
        </w:rPr>
        <w:t>First Indicator - Type of data</w:t>
      </w:r>
      <w:r>
        <w:t xml:space="preserve"> </w:t>
      </w:r>
    </w:p>
    <w:p w:rsidR="00341A13" w:rsidRDefault="00341A13" w:rsidP="006418F0">
      <w:pPr>
        <w:spacing w:line="240" w:lineRule="auto"/>
      </w:pPr>
      <w:r>
        <w:t xml:space="preserve">Type of data contained in the field. </w:t>
      </w:r>
    </w:p>
    <w:p w:rsidR="00341A13" w:rsidRDefault="00341A13" w:rsidP="006418F0">
      <w:pPr>
        <w:spacing w:line="240" w:lineRule="auto"/>
      </w:pPr>
      <w:r>
        <w:rPr>
          <w:rStyle w:val="Strong"/>
        </w:rPr>
        <w:t># - No information provided</w:t>
      </w:r>
      <w:r>
        <w:t xml:space="preserve"> </w:t>
      </w:r>
    </w:p>
    <w:p w:rsidR="00341A13" w:rsidRDefault="00341A13" w:rsidP="006418F0">
      <w:pPr>
        <w:spacing w:line="240" w:lineRule="auto"/>
      </w:pPr>
      <w:r>
        <w:rPr>
          <w:rStyle w:val="Strong"/>
        </w:rPr>
        <w:t>0 - Biographical sketch</w:t>
      </w:r>
      <w:r>
        <w:t xml:space="preserve"> </w:t>
      </w:r>
    </w:p>
    <w:p w:rsidR="006418F0" w:rsidRDefault="00341A13" w:rsidP="006418F0">
      <w:pPr>
        <w:spacing w:line="240" w:lineRule="auto"/>
      </w:pPr>
      <w:r>
        <w:rPr>
          <w:rStyle w:val="Strong"/>
        </w:rPr>
        <w:t>1 - Administrative history</w:t>
      </w:r>
      <w:r>
        <w:t xml:space="preserve"> </w:t>
      </w:r>
    </w:p>
    <w:p w:rsidR="00341A13" w:rsidRDefault="00341A13" w:rsidP="006418F0">
      <w:pPr>
        <w:spacing w:line="240" w:lineRule="auto"/>
      </w:pPr>
      <w:proofErr w:type="gramStart"/>
      <w:r>
        <w:t>Administrative history of an organization.</w:t>
      </w:r>
      <w:proofErr w:type="gramEnd"/>
      <w:r>
        <w:t xml:space="preserve"> </w:t>
      </w:r>
    </w:p>
    <w:tbl>
      <w:tblPr>
        <w:tblW w:w="5000" w:type="pct"/>
        <w:tblCellSpacing w:w="15" w:type="dxa"/>
        <w:tblCellMar>
          <w:top w:w="15" w:type="dxa"/>
          <w:left w:w="15" w:type="dxa"/>
          <w:bottom w:w="15" w:type="dxa"/>
          <w:right w:w="15" w:type="dxa"/>
        </w:tblCellMar>
        <w:tblLook w:val="04A0"/>
      </w:tblPr>
      <w:tblGrid>
        <w:gridCol w:w="501"/>
        <w:gridCol w:w="942"/>
        <w:gridCol w:w="942"/>
        <w:gridCol w:w="942"/>
        <w:gridCol w:w="942"/>
        <w:gridCol w:w="942"/>
        <w:gridCol w:w="942"/>
        <w:gridCol w:w="942"/>
        <w:gridCol w:w="942"/>
        <w:gridCol w:w="1413"/>
      </w:tblGrid>
      <w:tr w:rsidR="00341A13" w:rsidTr="00341A13">
        <w:trPr>
          <w:tblCellSpacing w:w="15" w:type="dxa"/>
        </w:trPr>
        <w:tc>
          <w:tcPr>
            <w:tcW w:w="25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750" w:type="pct"/>
            <w:hideMark/>
          </w:tcPr>
          <w:p w:rsidR="00341A13" w:rsidRDefault="00341A13" w:rsidP="006418F0">
            <w:pPr>
              <w:spacing w:line="240" w:lineRule="auto"/>
              <w:rPr>
                <w:sz w:val="24"/>
                <w:szCs w:val="24"/>
              </w:rPr>
            </w:pPr>
          </w:p>
        </w:tc>
      </w:tr>
      <w:tr w:rsidR="00341A13" w:rsidTr="00341A13">
        <w:trPr>
          <w:tblCellSpacing w:w="15" w:type="dxa"/>
        </w:trPr>
        <w:tc>
          <w:tcPr>
            <w:tcW w:w="0" w:type="auto"/>
            <w:hideMark/>
          </w:tcPr>
          <w:p w:rsidR="00341A13" w:rsidRDefault="00341A13" w:rsidP="00FD23B3">
            <w:pPr>
              <w:rPr>
                <w:sz w:val="24"/>
                <w:szCs w:val="24"/>
              </w:rPr>
            </w:pPr>
            <w:r>
              <w:rPr>
                <w:rStyle w:val="Strong"/>
              </w:rPr>
              <w:t>678</w:t>
            </w:r>
          </w:p>
        </w:tc>
        <w:tc>
          <w:tcPr>
            <w:tcW w:w="0" w:type="auto"/>
            <w:gridSpan w:val="9"/>
            <w:hideMark/>
          </w:tcPr>
          <w:p w:rsidR="00341A13" w:rsidRDefault="00341A13" w:rsidP="006418F0">
            <w:pPr>
              <w:spacing w:line="240" w:lineRule="auto"/>
            </w:pPr>
            <w:r>
              <w:rPr>
                <w:rStyle w:val="Strong"/>
              </w:rPr>
              <w:t>1#$</w:t>
            </w:r>
            <w:proofErr w:type="spellStart"/>
            <w:r>
              <w:rPr>
                <w:rStyle w:val="Strong"/>
              </w:rPr>
              <w:t>a</w:t>
            </w:r>
            <w:r>
              <w:t>The</w:t>
            </w:r>
            <w:proofErr w:type="spellEnd"/>
            <w:r>
              <w:t xml:space="preserve"> Office of Geography provides research and other staff services for the interdepartmental Board on Geographic Names and the Secretary of the Interior on foreign geographic </w:t>
            </w:r>
            <w:proofErr w:type="spellStart"/>
            <w:r>
              <w:t>nomenclature.</w:t>
            </w:r>
            <w:r>
              <w:rPr>
                <w:rStyle w:val="Strong"/>
              </w:rPr>
              <w:t>$b</w:t>
            </w:r>
            <w:r>
              <w:t>The</w:t>
            </w:r>
            <w:proofErr w:type="spellEnd"/>
            <w:r>
              <w:t xml:space="preserve"> Office inherited functions and records of earlier boards and committees engaged in similar work. The earliest of these, the U.S. Board on Geographic Names, was created by an Executive order of September 4, 1890, to ensure uniform usage throughout the executive departments of the Government ... </w:t>
            </w:r>
          </w:p>
          <w:p w:rsidR="006418F0" w:rsidRDefault="006418F0" w:rsidP="006418F0">
            <w:pPr>
              <w:spacing w:line="240" w:lineRule="auto"/>
              <w:rPr>
                <w:sz w:val="24"/>
                <w:szCs w:val="24"/>
              </w:rPr>
            </w:pPr>
          </w:p>
        </w:tc>
      </w:tr>
    </w:tbl>
    <w:p w:rsidR="00341A13" w:rsidRDefault="00341A13" w:rsidP="00FD23B3">
      <w:r>
        <w:rPr>
          <w:rStyle w:val="Strong"/>
        </w:rPr>
        <w:t>Second Indicator - Undefined</w:t>
      </w:r>
      <w:r>
        <w:t xml:space="preserve"> </w:t>
      </w:r>
    </w:p>
    <w:p w:rsidR="00341A13" w:rsidRDefault="00341A13" w:rsidP="00FD23B3">
      <w:r>
        <w:t xml:space="preserve">Undefined and contains a blank (#). </w:t>
      </w:r>
    </w:p>
    <w:p w:rsidR="00341A13" w:rsidRDefault="00341A13" w:rsidP="006418F0">
      <w:pPr>
        <w:pStyle w:val="Heading4"/>
        <w:keepNext/>
      </w:pPr>
      <w:r>
        <w:rPr>
          <w:rStyle w:val="box1"/>
        </w:rPr>
        <w:t>■</w:t>
      </w:r>
      <w:r>
        <w:t xml:space="preserve"> SUBFIELD CODES </w:t>
      </w:r>
    </w:p>
    <w:p w:rsidR="00341A13" w:rsidRDefault="00341A13" w:rsidP="006418F0">
      <w:pPr>
        <w:spacing w:line="240" w:lineRule="auto"/>
      </w:pPr>
      <w:r>
        <w:rPr>
          <w:rStyle w:val="Strong"/>
        </w:rPr>
        <w:t>$a - Biographical or historical data</w:t>
      </w:r>
      <w:r>
        <w:t xml:space="preserve"> </w:t>
      </w:r>
    </w:p>
    <w:p w:rsidR="00341A13" w:rsidRDefault="00341A13" w:rsidP="006418F0">
      <w:pPr>
        <w:spacing w:line="240" w:lineRule="auto"/>
      </w:pPr>
      <w:proofErr w:type="gramStart"/>
      <w:r>
        <w:t>Brief statement providing biographical information about an individual.</w:t>
      </w:r>
      <w:proofErr w:type="gramEnd"/>
      <w:r>
        <w:t xml:space="preserve"> It may also contain historical and </w:t>
      </w:r>
      <w:proofErr w:type="spellStart"/>
      <w:r>
        <w:t>adminstrative</w:t>
      </w:r>
      <w:proofErr w:type="spellEnd"/>
      <w:r>
        <w:t xml:space="preserve"> information relating to an organization. </w:t>
      </w:r>
    </w:p>
    <w:tbl>
      <w:tblPr>
        <w:tblW w:w="5000" w:type="pct"/>
        <w:tblCellSpacing w:w="15" w:type="dxa"/>
        <w:tblCellMar>
          <w:top w:w="15" w:type="dxa"/>
          <w:left w:w="15" w:type="dxa"/>
          <w:bottom w:w="15" w:type="dxa"/>
          <w:right w:w="15" w:type="dxa"/>
        </w:tblCellMar>
        <w:tblLook w:val="04A0"/>
      </w:tblPr>
      <w:tblGrid>
        <w:gridCol w:w="501"/>
        <w:gridCol w:w="942"/>
        <w:gridCol w:w="942"/>
        <w:gridCol w:w="942"/>
        <w:gridCol w:w="942"/>
        <w:gridCol w:w="942"/>
        <w:gridCol w:w="942"/>
        <w:gridCol w:w="942"/>
        <w:gridCol w:w="942"/>
        <w:gridCol w:w="1413"/>
      </w:tblGrid>
      <w:tr w:rsidR="00341A13" w:rsidTr="00341A13">
        <w:trPr>
          <w:tblCellSpacing w:w="15" w:type="dxa"/>
        </w:trPr>
        <w:tc>
          <w:tcPr>
            <w:tcW w:w="25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750" w:type="pct"/>
            <w:hideMark/>
          </w:tcPr>
          <w:p w:rsidR="00341A13" w:rsidRDefault="00341A13" w:rsidP="006418F0">
            <w:pPr>
              <w:spacing w:line="240" w:lineRule="auto"/>
              <w:rPr>
                <w:sz w:val="24"/>
                <w:szCs w:val="24"/>
              </w:rPr>
            </w:pPr>
          </w:p>
        </w:tc>
      </w:tr>
      <w:tr w:rsidR="00341A13" w:rsidTr="00341A13">
        <w:trPr>
          <w:tblCellSpacing w:w="15" w:type="dxa"/>
        </w:trPr>
        <w:tc>
          <w:tcPr>
            <w:tcW w:w="0" w:type="auto"/>
            <w:hideMark/>
          </w:tcPr>
          <w:p w:rsidR="00341A13" w:rsidRDefault="00341A13" w:rsidP="006418F0">
            <w:pPr>
              <w:spacing w:line="240" w:lineRule="auto"/>
              <w:rPr>
                <w:sz w:val="24"/>
                <w:szCs w:val="24"/>
              </w:rPr>
            </w:pPr>
            <w:r>
              <w:t>100</w:t>
            </w:r>
          </w:p>
        </w:tc>
        <w:tc>
          <w:tcPr>
            <w:tcW w:w="0" w:type="auto"/>
            <w:gridSpan w:val="9"/>
            <w:hideMark/>
          </w:tcPr>
          <w:p w:rsidR="00341A13" w:rsidRDefault="00341A13" w:rsidP="006418F0">
            <w:pPr>
              <w:spacing w:line="240" w:lineRule="auto"/>
              <w:rPr>
                <w:sz w:val="24"/>
                <w:szCs w:val="24"/>
              </w:rPr>
            </w:pPr>
            <w:r>
              <w:t>1#$</w:t>
            </w:r>
            <w:proofErr w:type="spellStart"/>
            <w:r>
              <w:t>aJordan</w:t>
            </w:r>
            <w:proofErr w:type="spellEnd"/>
            <w:r>
              <w:t>, Joseph A.</w:t>
            </w:r>
          </w:p>
        </w:tc>
      </w:tr>
      <w:tr w:rsidR="00341A13" w:rsidTr="00341A13">
        <w:trPr>
          <w:tblCellSpacing w:w="15" w:type="dxa"/>
        </w:trPr>
        <w:tc>
          <w:tcPr>
            <w:tcW w:w="0" w:type="auto"/>
            <w:hideMark/>
          </w:tcPr>
          <w:p w:rsidR="00341A13" w:rsidRDefault="00341A13" w:rsidP="006418F0">
            <w:pPr>
              <w:spacing w:line="240" w:lineRule="auto"/>
              <w:rPr>
                <w:sz w:val="24"/>
                <w:szCs w:val="24"/>
              </w:rPr>
            </w:pPr>
            <w:r>
              <w:rPr>
                <w:rStyle w:val="Strong"/>
              </w:rPr>
              <w:t>678</w:t>
            </w:r>
          </w:p>
        </w:tc>
        <w:tc>
          <w:tcPr>
            <w:tcW w:w="0" w:type="auto"/>
            <w:gridSpan w:val="9"/>
            <w:hideMark/>
          </w:tcPr>
          <w:p w:rsidR="00341A13" w:rsidRDefault="00341A13" w:rsidP="006418F0">
            <w:pPr>
              <w:spacing w:line="240" w:lineRule="auto"/>
              <w:rPr>
                <w:sz w:val="24"/>
                <w:szCs w:val="24"/>
              </w:rPr>
            </w:pPr>
            <w:r>
              <w:rPr>
                <w:rStyle w:val="Strong"/>
              </w:rPr>
              <w:t>##$</w:t>
            </w:r>
            <w:proofErr w:type="spellStart"/>
            <w:proofErr w:type="gramStart"/>
            <w:r>
              <w:rPr>
                <w:rStyle w:val="Strong"/>
              </w:rPr>
              <w:t>a</w:t>
            </w:r>
            <w:r>
              <w:t>M.D</w:t>
            </w:r>
            <w:proofErr w:type="spellEnd"/>
            <w:r>
              <w:t>.,</w:t>
            </w:r>
            <w:proofErr w:type="gramEnd"/>
            <w:r>
              <w:t xml:space="preserve"> M.R.C.O.G.;</w:t>
            </w:r>
            <w:r>
              <w:rPr>
                <w:rStyle w:val="Strong"/>
              </w:rPr>
              <w:t>$</w:t>
            </w:r>
            <w:proofErr w:type="spellStart"/>
            <w:r>
              <w:rPr>
                <w:rStyle w:val="Strong"/>
              </w:rPr>
              <w:t>a</w:t>
            </w:r>
            <w:r>
              <w:t>Dept</w:t>
            </w:r>
            <w:proofErr w:type="spellEnd"/>
            <w:r>
              <w:t xml:space="preserve">. </w:t>
            </w:r>
            <w:proofErr w:type="gramStart"/>
            <w:r>
              <w:t>of</w:t>
            </w:r>
            <w:proofErr w:type="gramEnd"/>
            <w:r>
              <w:t xml:space="preserve"> Obstetrics and </w:t>
            </w:r>
            <w:proofErr w:type="spellStart"/>
            <w:r>
              <w:t>Gynaecology</w:t>
            </w:r>
            <w:proofErr w:type="spellEnd"/>
            <w:r>
              <w:t xml:space="preserve">, Birmingham Maternity Hosp., Queen Elizabeth Medical Center, </w:t>
            </w:r>
            <w:proofErr w:type="spellStart"/>
            <w:r>
              <w:t>Edgbaston</w:t>
            </w:r>
            <w:proofErr w:type="spellEnd"/>
            <w:r>
              <w:t xml:space="preserve">. </w:t>
            </w:r>
          </w:p>
        </w:tc>
      </w:tr>
      <w:tr w:rsidR="00341A13" w:rsidTr="00341A13">
        <w:trPr>
          <w:tblCellSpacing w:w="15" w:type="dxa"/>
        </w:trPr>
        <w:tc>
          <w:tcPr>
            <w:tcW w:w="25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750" w:type="pct"/>
            <w:hideMark/>
          </w:tcPr>
          <w:p w:rsidR="00341A13" w:rsidRDefault="00341A13" w:rsidP="006418F0">
            <w:pPr>
              <w:spacing w:line="240" w:lineRule="auto"/>
              <w:rPr>
                <w:sz w:val="24"/>
                <w:szCs w:val="24"/>
              </w:rPr>
            </w:pPr>
          </w:p>
        </w:tc>
      </w:tr>
      <w:tr w:rsidR="00341A13" w:rsidTr="00341A13">
        <w:trPr>
          <w:tblCellSpacing w:w="15" w:type="dxa"/>
        </w:trPr>
        <w:tc>
          <w:tcPr>
            <w:tcW w:w="0" w:type="auto"/>
            <w:hideMark/>
          </w:tcPr>
          <w:p w:rsidR="00341A13" w:rsidRDefault="00341A13" w:rsidP="006418F0">
            <w:pPr>
              <w:spacing w:line="240" w:lineRule="auto"/>
              <w:rPr>
                <w:sz w:val="24"/>
                <w:szCs w:val="24"/>
              </w:rPr>
            </w:pPr>
            <w:r>
              <w:t>100</w:t>
            </w:r>
          </w:p>
        </w:tc>
        <w:tc>
          <w:tcPr>
            <w:tcW w:w="0" w:type="auto"/>
            <w:gridSpan w:val="9"/>
            <w:hideMark/>
          </w:tcPr>
          <w:p w:rsidR="00341A13" w:rsidRDefault="00341A13" w:rsidP="006418F0">
            <w:pPr>
              <w:spacing w:line="240" w:lineRule="auto"/>
              <w:rPr>
                <w:sz w:val="24"/>
                <w:szCs w:val="24"/>
              </w:rPr>
            </w:pPr>
            <w:r>
              <w:t>1#$</w:t>
            </w:r>
            <w:proofErr w:type="spellStart"/>
            <w:r>
              <w:t>aHaupt</w:t>
            </w:r>
            <w:proofErr w:type="spellEnd"/>
            <w:r>
              <w:t>, Georges</w:t>
            </w:r>
          </w:p>
        </w:tc>
      </w:tr>
      <w:tr w:rsidR="00341A13" w:rsidTr="00341A13">
        <w:trPr>
          <w:tblCellSpacing w:w="15" w:type="dxa"/>
        </w:trPr>
        <w:tc>
          <w:tcPr>
            <w:tcW w:w="0" w:type="auto"/>
            <w:hideMark/>
          </w:tcPr>
          <w:p w:rsidR="00341A13" w:rsidRDefault="00341A13" w:rsidP="006418F0">
            <w:pPr>
              <w:spacing w:line="240" w:lineRule="auto"/>
              <w:rPr>
                <w:sz w:val="24"/>
                <w:szCs w:val="24"/>
              </w:rPr>
            </w:pPr>
            <w:r>
              <w:rPr>
                <w:rStyle w:val="Strong"/>
              </w:rPr>
              <w:t>678</w:t>
            </w:r>
          </w:p>
        </w:tc>
        <w:tc>
          <w:tcPr>
            <w:tcW w:w="0" w:type="auto"/>
            <w:gridSpan w:val="9"/>
            <w:hideMark/>
          </w:tcPr>
          <w:p w:rsidR="00341A13" w:rsidRDefault="00341A13" w:rsidP="006418F0">
            <w:pPr>
              <w:spacing w:line="240" w:lineRule="auto"/>
              <w:rPr>
                <w:sz w:val="24"/>
                <w:szCs w:val="24"/>
              </w:rPr>
            </w:pPr>
            <w:r>
              <w:rPr>
                <w:rStyle w:val="Strong"/>
              </w:rPr>
              <w:t>##$a</w:t>
            </w:r>
            <w:r>
              <w:t xml:space="preserve">b. 1928 </w:t>
            </w:r>
          </w:p>
        </w:tc>
      </w:tr>
      <w:tr w:rsidR="00341A13" w:rsidTr="00341A13">
        <w:trPr>
          <w:tblCellSpacing w:w="15" w:type="dxa"/>
        </w:trPr>
        <w:tc>
          <w:tcPr>
            <w:tcW w:w="0" w:type="auto"/>
            <w:hideMark/>
          </w:tcPr>
          <w:p w:rsidR="00341A13" w:rsidRDefault="00341A13" w:rsidP="006418F0">
            <w:pPr>
              <w:spacing w:line="240" w:lineRule="auto"/>
              <w:rPr>
                <w:sz w:val="24"/>
                <w:szCs w:val="24"/>
              </w:rPr>
            </w:pPr>
            <w:r>
              <w:t>670</w:t>
            </w:r>
          </w:p>
        </w:tc>
        <w:tc>
          <w:tcPr>
            <w:tcW w:w="0" w:type="auto"/>
            <w:gridSpan w:val="9"/>
            <w:hideMark/>
          </w:tcPr>
          <w:p w:rsidR="00341A13" w:rsidRDefault="00341A13" w:rsidP="006418F0">
            <w:pPr>
              <w:spacing w:line="240" w:lineRule="auto"/>
              <w:rPr>
                <w:sz w:val="24"/>
                <w:szCs w:val="24"/>
              </w:rPr>
            </w:pPr>
            <w:r>
              <w:t>##$</w:t>
            </w:r>
            <w:proofErr w:type="spellStart"/>
            <w:r>
              <w:t>aHis</w:t>
            </w:r>
            <w:proofErr w:type="spellEnd"/>
            <w:r>
              <w:t xml:space="preserve"> aspects of international socialism, 1871-1914:$</w:t>
            </w:r>
            <w:proofErr w:type="spellStart"/>
            <w:r>
              <w:t>bCIP</w:t>
            </w:r>
            <w:proofErr w:type="spellEnd"/>
            <w:r>
              <w:t xml:space="preserve"> pref. (b. </w:t>
            </w:r>
            <w:proofErr w:type="spellStart"/>
            <w:r>
              <w:t>Szatmar</w:t>
            </w:r>
            <w:proofErr w:type="spellEnd"/>
            <w:r>
              <w:t xml:space="preserve">; wrote in Rumanian, Hungarian, Russian; moved to Paris 1958; d. 1978) </w:t>
            </w:r>
          </w:p>
        </w:tc>
      </w:tr>
    </w:tbl>
    <w:p w:rsidR="00341A13" w:rsidRDefault="00341A13" w:rsidP="006418F0">
      <w:pPr>
        <w:spacing w:line="240" w:lineRule="auto"/>
      </w:pPr>
      <w:r>
        <w:rPr>
          <w:rStyle w:val="Strong"/>
        </w:rPr>
        <w:t>$b - Expansion</w:t>
      </w:r>
      <w:r>
        <w:t xml:space="preserve"> </w:t>
      </w:r>
    </w:p>
    <w:p w:rsidR="00341A13" w:rsidRDefault="00341A13" w:rsidP="006418F0">
      <w:pPr>
        <w:spacing w:line="240" w:lineRule="auto"/>
      </w:pPr>
      <w:proofErr w:type="gramStart"/>
      <w:r>
        <w:t>Expansion of the biographical or historical data given in subfield $a.</w:t>
      </w:r>
      <w:proofErr w:type="gramEnd"/>
      <w:r>
        <w:t xml:space="preserve"> </w:t>
      </w:r>
    </w:p>
    <w:tbl>
      <w:tblPr>
        <w:tblW w:w="5000" w:type="pct"/>
        <w:tblCellSpacing w:w="15" w:type="dxa"/>
        <w:tblCellMar>
          <w:top w:w="15" w:type="dxa"/>
          <w:left w:w="15" w:type="dxa"/>
          <w:bottom w:w="15" w:type="dxa"/>
          <w:right w:w="15" w:type="dxa"/>
        </w:tblCellMar>
        <w:tblLook w:val="04A0"/>
      </w:tblPr>
      <w:tblGrid>
        <w:gridCol w:w="501"/>
        <w:gridCol w:w="942"/>
        <w:gridCol w:w="942"/>
        <w:gridCol w:w="942"/>
        <w:gridCol w:w="942"/>
        <w:gridCol w:w="942"/>
        <w:gridCol w:w="942"/>
        <w:gridCol w:w="942"/>
        <w:gridCol w:w="942"/>
        <w:gridCol w:w="1413"/>
      </w:tblGrid>
      <w:tr w:rsidR="00341A13" w:rsidTr="00341A13">
        <w:trPr>
          <w:tblCellSpacing w:w="15" w:type="dxa"/>
        </w:trPr>
        <w:tc>
          <w:tcPr>
            <w:tcW w:w="25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750" w:type="pct"/>
            <w:hideMark/>
          </w:tcPr>
          <w:p w:rsidR="00341A13" w:rsidRDefault="00341A13" w:rsidP="006418F0">
            <w:pPr>
              <w:spacing w:line="240" w:lineRule="auto"/>
              <w:rPr>
                <w:sz w:val="24"/>
                <w:szCs w:val="24"/>
              </w:rPr>
            </w:pPr>
          </w:p>
        </w:tc>
      </w:tr>
      <w:tr w:rsidR="00341A13" w:rsidTr="00341A13">
        <w:trPr>
          <w:tblCellSpacing w:w="15" w:type="dxa"/>
        </w:trPr>
        <w:tc>
          <w:tcPr>
            <w:tcW w:w="0" w:type="auto"/>
            <w:hideMark/>
          </w:tcPr>
          <w:p w:rsidR="00341A13" w:rsidRDefault="00341A13" w:rsidP="006418F0">
            <w:pPr>
              <w:spacing w:line="240" w:lineRule="auto"/>
              <w:rPr>
                <w:sz w:val="24"/>
                <w:szCs w:val="24"/>
              </w:rPr>
            </w:pPr>
            <w:r>
              <w:rPr>
                <w:rStyle w:val="Strong"/>
              </w:rPr>
              <w:t>678</w:t>
            </w:r>
          </w:p>
        </w:tc>
        <w:tc>
          <w:tcPr>
            <w:tcW w:w="0" w:type="auto"/>
            <w:gridSpan w:val="9"/>
            <w:hideMark/>
          </w:tcPr>
          <w:p w:rsidR="00341A13" w:rsidRDefault="00341A13" w:rsidP="006418F0">
            <w:pPr>
              <w:spacing w:line="240" w:lineRule="auto"/>
              <w:rPr>
                <w:sz w:val="24"/>
                <w:szCs w:val="24"/>
              </w:rPr>
            </w:pPr>
            <w:r>
              <w:rPr>
                <w:rStyle w:val="Strong"/>
              </w:rPr>
              <w:t>1#$</w:t>
            </w:r>
            <w:proofErr w:type="spellStart"/>
            <w:r>
              <w:rPr>
                <w:rStyle w:val="Strong"/>
              </w:rPr>
              <w:t>a</w:t>
            </w:r>
            <w:r>
              <w:t>The</w:t>
            </w:r>
            <w:proofErr w:type="spellEnd"/>
            <w:r>
              <w:t xml:space="preserve"> Office of Geography provides research and other staff services for the interdepartmental Board on Geographic Names and the Secretary of the Interior on foreign geographic </w:t>
            </w:r>
            <w:proofErr w:type="spellStart"/>
            <w:r>
              <w:t>nomenclature.</w:t>
            </w:r>
            <w:r>
              <w:rPr>
                <w:rStyle w:val="Strong"/>
              </w:rPr>
              <w:t>$b</w:t>
            </w:r>
            <w:r>
              <w:t>The</w:t>
            </w:r>
            <w:proofErr w:type="spellEnd"/>
            <w:r>
              <w:t xml:space="preserve"> Office inherited functions and records of earlier boards and committees engaged in similar work. The earliest of these, the U.S. Board on Geographic Names, was created by an Executive order of September 4, 1890, to ensure uniform usage throughout the executive departments of the Government ... </w:t>
            </w:r>
          </w:p>
        </w:tc>
      </w:tr>
    </w:tbl>
    <w:p w:rsidR="00341A13" w:rsidRDefault="00341A13" w:rsidP="006418F0">
      <w:pPr>
        <w:spacing w:line="240" w:lineRule="auto"/>
      </w:pPr>
      <w:r>
        <w:rPr>
          <w:rStyle w:val="Strong"/>
        </w:rPr>
        <w:t>$u - Uniform Resource Identifier</w:t>
      </w:r>
      <w:r>
        <w:t xml:space="preserve"> </w:t>
      </w:r>
    </w:p>
    <w:p w:rsidR="00341A13" w:rsidRDefault="00341A13" w:rsidP="006418F0">
      <w:pPr>
        <w:spacing w:line="240" w:lineRule="auto"/>
      </w:pPr>
      <w:proofErr w:type="gramStart"/>
      <w:r>
        <w:t>Uniform Resource Identifier (URI), for example a URL or URN, which provides electronic access data in a standard syntax.</w:t>
      </w:r>
      <w:proofErr w:type="gramEnd"/>
      <w:r>
        <w:t xml:space="preserve"> This data can be used for automated access to an electronic item using one of the Internet protocols. </w:t>
      </w:r>
    </w:p>
    <w:tbl>
      <w:tblPr>
        <w:tblW w:w="5000" w:type="pct"/>
        <w:tblCellSpacing w:w="15" w:type="dxa"/>
        <w:tblCellMar>
          <w:top w:w="15" w:type="dxa"/>
          <w:left w:w="15" w:type="dxa"/>
          <w:bottom w:w="15" w:type="dxa"/>
          <w:right w:w="15" w:type="dxa"/>
        </w:tblCellMar>
        <w:tblLook w:val="04A0"/>
      </w:tblPr>
      <w:tblGrid>
        <w:gridCol w:w="501"/>
        <w:gridCol w:w="942"/>
        <w:gridCol w:w="942"/>
        <w:gridCol w:w="942"/>
        <w:gridCol w:w="942"/>
        <w:gridCol w:w="942"/>
        <w:gridCol w:w="942"/>
        <w:gridCol w:w="942"/>
        <w:gridCol w:w="942"/>
        <w:gridCol w:w="1413"/>
      </w:tblGrid>
      <w:tr w:rsidR="00341A13" w:rsidTr="00341A13">
        <w:trPr>
          <w:tblCellSpacing w:w="15" w:type="dxa"/>
        </w:trPr>
        <w:tc>
          <w:tcPr>
            <w:tcW w:w="25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500" w:type="pct"/>
            <w:hideMark/>
          </w:tcPr>
          <w:p w:rsidR="00341A13" w:rsidRDefault="00341A13" w:rsidP="006418F0">
            <w:pPr>
              <w:spacing w:line="240" w:lineRule="auto"/>
              <w:rPr>
                <w:sz w:val="24"/>
                <w:szCs w:val="24"/>
              </w:rPr>
            </w:pPr>
          </w:p>
        </w:tc>
        <w:tc>
          <w:tcPr>
            <w:tcW w:w="750" w:type="pct"/>
            <w:hideMark/>
          </w:tcPr>
          <w:p w:rsidR="00341A13" w:rsidRDefault="00341A13" w:rsidP="006418F0">
            <w:pPr>
              <w:spacing w:line="240" w:lineRule="auto"/>
              <w:rPr>
                <w:sz w:val="24"/>
                <w:szCs w:val="24"/>
              </w:rPr>
            </w:pPr>
          </w:p>
        </w:tc>
      </w:tr>
      <w:tr w:rsidR="00341A13" w:rsidTr="00341A13">
        <w:trPr>
          <w:tblCellSpacing w:w="15" w:type="dxa"/>
        </w:trPr>
        <w:tc>
          <w:tcPr>
            <w:tcW w:w="0" w:type="auto"/>
            <w:hideMark/>
          </w:tcPr>
          <w:p w:rsidR="00341A13" w:rsidRDefault="00341A13" w:rsidP="006418F0">
            <w:pPr>
              <w:spacing w:line="240" w:lineRule="auto"/>
              <w:rPr>
                <w:sz w:val="24"/>
                <w:szCs w:val="24"/>
              </w:rPr>
            </w:pPr>
            <w:r>
              <w:rPr>
                <w:rStyle w:val="Strong"/>
              </w:rPr>
              <w:t>678</w:t>
            </w:r>
          </w:p>
        </w:tc>
        <w:tc>
          <w:tcPr>
            <w:tcW w:w="0" w:type="auto"/>
            <w:gridSpan w:val="9"/>
            <w:hideMark/>
          </w:tcPr>
          <w:p w:rsidR="00341A13" w:rsidRDefault="00341A13" w:rsidP="006418F0">
            <w:pPr>
              <w:spacing w:line="240" w:lineRule="auto"/>
              <w:rPr>
                <w:sz w:val="24"/>
                <w:szCs w:val="24"/>
              </w:rPr>
            </w:pPr>
            <w:r>
              <w:rPr>
                <w:rStyle w:val="Strong"/>
              </w:rPr>
              <w:t>##$</w:t>
            </w:r>
            <w:proofErr w:type="spellStart"/>
            <w:r>
              <w:rPr>
                <w:rStyle w:val="Strong"/>
              </w:rPr>
              <w:t>a</w:t>
            </w:r>
            <w:r>
              <w:t>The</w:t>
            </w:r>
            <w:proofErr w:type="spellEnd"/>
            <w:r>
              <w:t xml:space="preserve"> Faribault State School and Hospital provided care, treatment, training, and a variety of other services to mentally retarded individuals and their families. It was operated by the State of Minnesota from 1879 to 1998 under different administrative structures and with different names. A more detailed history of the Hospital may be found </w:t>
            </w:r>
            <w:proofErr w:type="spellStart"/>
            <w:r>
              <w:t>at</w:t>
            </w:r>
            <w:r>
              <w:rPr>
                <w:rStyle w:val="Strong"/>
              </w:rPr>
              <w:t>$u</w:t>
            </w:r>
            <w:r>
              <w:t>http</w:t>
            </w:r>
            <w:proofErr w:type="spellEnd"/>
            <w:r>
              <w:t xml:space="preserve">://www.mnhs.org/library/findaids/80881.html </w:t>
            </w:r>
          </w:p>
        </w:tc>
      </w:tr>
    </w:tbl>
    <w:p w:rsidR="00341A13" w:rsidRDefault="00341A13" w:rsidP="006418F0">
      <w:pPr>
        <w:spacing w:line="240" w:lineRule="auto"/>
      </w:pPr>
      <w:r>
        <w:rPr>
          <w:rStyle w:val="Strong"/>
        </w:rPr>
        <w:t>$6 - Linkage</w:t>
      </w:r>
      <w:r>
        <w:t xml:space="preserve"> </w:t>
      </w:r>
    </w:p>
    <w:p w:rsidR="00341A13" w:rsidRDefault="00341A13" w:rsidP="006418F0">
      <w:pPr>
        <w:spacing w:line="240" w:lineRule="auto"/>
      </w:pPr>
      <w:r>
        <w:t xml:space="preserve">See description of this subfield in Appendix A: </w:t>
      </w:r>
      <w:hyperlink r:id="rId8" w:history="1">
        <w:r>
          <w:rPr>
            <w:rStyle w:val="Hyperlink"/>
            <w:i/>
            <w:iCs/>
          </w:rPr>
          <w:t>Control Subfields</w:t>
        </w:r>
      </w:hyperlink>
      <w:r>
        <w:t xml:space="preserve">. </w:t>
      </w:r>
    </w:p>
    <w:p w:rsidR="00341A13" w:rsidRDefault="00341A13" w:rsidP="006418F0">
      <w:pPr>
        <w:spacing w:line="240" w:lineRule="auto"/>
      </w:pPr>
      <w:r>
        <w:rPr>
          <w:rStyle w:val="Strong"/>
        </w:rPr>
        <w:t>$8 - Field link and sequence number</w:t>
      </w:r>
      <w:r>
        <w:t xml:space="preserve"> </w:t>
      </w:r>
    </w:p>
    <w:p w:rsidR="00341A13" w:rsidRDefault="00341A13" w:rsidP="006418F0">
      <w:pPr>
        <w:spacing w:line="240" w:lineRule="auto"/>
      </w:pPr>
      <w:r>
        <w:t xml:space="preserve">See description of this subfield in Appendix A: </w:t>
      </w:r>
      <w:hyperlink r:id="rId9" w:history="1">
        <w:r>
          <w:rPr>
            <w:rStyle w:val="Hyperlink"/>
            <w:i/>
            <w:iCs/>
          </w:rPr>
          <w:t>Control Subfields</w:t>
        </w:r>
      </w:hyperlink>
      <w:r>
        <w:t xml:space="preserve">. </w:t>
      </w:r>
    </w:p>
    <w:p w:rsidR="00341A13" w:rsidRDefault="002671F5" w:rsidP="00341A13">
      <w:r>
        <w:pict>
          <v:rect id="_x0000_i1030" style="width:0;height:1.5pt" o:hralign="center" o:hrstd="t" o:hr="t" fillcolor="gray" stroked="f"/>
        </w:pict>
      </w:r>
    </w:p>
    <w:p w:rsidR="00341A13" w:rsidRPr="00341A13" w:rsidRDefault="00341A13" w:rsidP="00341A13"/>
    <w:p w:rsidR="00341A13" w:rsidRDefault="00341A13"/>
    <w:sectPr w:rsidR="00341A13"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FC" w:rsidRDefault="00221CFC" w:rsidP="00E02490">
      <w:pPr>
        <w:spacing w:line="240" w:lineRule="auto"/>
      </w:pPr>
      <w:r>
        <w:separator/>
      </w:r>
    </w:p>
  </w:endnote>
  <w:endnote w:type="continuationSeparator" w:id="0">
    <w:p w:rsidR="00221CFC" w:rsidRDefault="00221CFC" w:rsidP="00E024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pf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FC" w:rsidRDefault="00221CFC" w:rsidP="00E02490">
      <w:pPr>
        <w:spacing w:line="240" w:lineRule="auto"/>
      </w:pPr>
      <w:r>
        <w:separator/>
      </w:r>
    </w:p>
  </w:footnote>
  <w:footnote w:type="continuationSeparator" w:id="0">
    <w:p w:rsidR="00221CFC" w:rsidRDefault="00221CFC" w:rsidP="00E02490">
      <w:pPr>
        <w:spacing w:line="240" w:lineRule="auto"/>
      </w:pPr>
      <w:r>
        <w:continuationSeparator/>
      </w:r>
    </w:p>
  </w:footnote>
  <w:footnote w:id="1">
    <w:p w:rsidR="00221CFC" w:rsidRPr="00E02490" w:rsidRDefault="00221CFC">
      <w:pPr>
        <w:pStyle w:val="FootnoteText"/>
        <w:rPr>
          <w:i/>
        </w:rPr>
      </w:pPr>
      <w:r>
        <w:rPr>
          <w:rStyle w:val="FootnoteReference"/>
        </w:rPr>
        <w:footnoteRef/>
      </w:r>
      <w:r>
        <w:t xml:space="preserve"> </w:t>
      </w:r>
      <w:r>
        <w:rPr>
          <w:i/>
        </w:rPr>
        <w:t xml:space="preserve">Authorities, a MARC </w:t>
      </w:r>
      <w:proofErr w:type="gramStart"/>
      <w:r>
        <w:rPr>
          <w:i/>
        </w:rPr>
        <w:t>format :</w:t>
      </w:r>
      <w:proofErr w:type="gramEnd"/>
      <w:r>
        <w:rPr>
          <w:i/>
        </w:rPr>
        <w:t xml:space="preserve"> specifications for magnetic tapes containing authority records / MARC Development Office. </w:t>
      </w:r>
      <w:proofErr w:type="gramStart"/>
      <w:r>
        <w:rPr>
          <w:i/>
        </w:rPr>
        <w:t>Preliminary edition.</w:t>
      </w:r>
      <w:proofErr w:type="gramEnd"/>
      <w:r>
        <w:rPr>
          <w:i/>
        </w:rPr>
        <w:t xml:space="preserve"> </w:t>
      </w:r>
      <w:proofErr w:type="gramStart"/>
      <w:r>
        <w:rPr>
          <w:i/>
        </w:rPr>
        <w:t>Washington :</w:t>
      </w:r>
      <w:proofErr w:type="gramEnd"/>
      <w:r>
        <w:rPr>
          <w:i/>
        </w:rPr>
        <w:t xml:space="preserve"> Library of Congress, 1976.</w:t>
      </w:r>
    </w:p>
  </w:footnote>
  <w:footnote w:id="2">
    <w:p w:rsidR="00221CFC" w:rsidRDefault="00221CFC">
      <w:pPr>
        <w:pStyle w:val="FootnoteText"/>
      </w:pPr>
      <w:r>
        <w:rPr>
          <w:rStyle w:val="FootnoteReference"/>
        </w:rPr>
        <w:footnoteRef/>
      </w:r>
      <w:r>
        <w:t xml:space="preserve"> Under the preliminary </w:t>
      </w:r>
      <w:r w:rsidR="00A26BA2">
        <w:t>edition</w:t>
      </w:r>
      <w:r>
        <w:t xml:space="preserve"> of the MARC authorities format, most variable data fields contained a 24-byte control subfield, most of which was never coded. This was later boiled down to the control subfield $w still used in 4XX and 5XX fields, and was eliminated from other fields.</w:t>
      </w:r>
    </w:p>
  </w:footnote>
  <w:footnote w:id="3">
    <w:p w:rsidR="00221CFC" w:rsidRPr="00341A13" w:rsidRDefault="00221CFC">
      <w:pPr>
        <w:pStyle w:val="FootnoteText"/>
      </w:pPr>
      <w:r>
        <w:rPr>
          <w:rStyle w:val="FootnoteReference"/>
        </w:rPr>
        <w:footnoteRef/>
      </w:r>
      <w:r>
        <w:t xml:space="preserve"> </w:t>
      </w:r>
      <w:r>
        <w:rPr>
          <w:i/>
        </w:rPr>
        <w:t xml:space="preserve">Authorities, </w:t>
      </w:r>
      <w:proofErr w:type="gramStart"/>
      <w:r>
        <w:rPr>
          <w:i/>
        </w:rPr>
        <w:t>a MARC</w:t>
      </w:r>
      <w:proofErr w:type="gramEnd"/>
      <w:r>
        <w:rPr>
          <w:i/>
        </w:rPr>
        <w:t xml:space="preserve"> format. </w:t>
      </w:r>
      <w:proofErr w:type="gramStart"/>
      <w:r>
        <w:t>First edition.</w:t>
      </w:r>
      <w:proofErr w:type="gramEnd"/>
      <w:r>
        <w:t xml:space="preserve"> </w:t>
      </w:r>
      <w:proofErr w:type="gramStart"/>
      <w:r>
        <w:t>Washington :</w:t>
      </w:r>
      <w:proofErr w:type="gramEnd"/>
      <w:r>
        <w:t xml:space="preserve"> Processing Services, Library of Congress, 1981.</w:t>
      </w:r>
    </w:p>
  </w:footnote>
  <w:footnote w:id="4">
    <w:p w:rsidR="00221CFC" w:rsidRDefault="00221CFC">
      <w:pPr>
        <w:pStyle w:val="FootnoteText"/>
      </w:pPr>
      <w:r>
        <w:rPr>
          <w:rStyle w:val="FootnoteReference"/>
        </w:rPr>
        <w:footnoteRef/>
      </w:r>
      <w:r>
        <w:t xml:space="preserve"> Available at: </w:t>
      </w:r>
      <w:hyperlink r:id="rId1" w:history="1">
        <w:r w:rsidRPr="00A45336">
          <w:rPr>
            <w:rStyle w:val="Hyperlink"/>
          </w:rPr>
          <w:t>http://www.loc.gov/marc/authority/ad678.html</w:t>
        </w:r>
      </w:hyperlink>
    </w:p>
  </w:footnote>
  <w:footnote w:id="5">
    <w:p w:rsidR="00221CFC" w:rsidRDefault="00221CFC">
      <w:pPr>
        <w:pStyle w:val="FootnoteText"/>
      </w:pPr>
      <w:r>
        <w:rPr>
          <w:rStyle w:val="FootnoteReference"/>
        </w:rPr>
        <w:footnoteRef/>
      </w:r>
      <w:r>
        <w:t xml:space="preserve"> If the record has not been updated since the definition of the field was adjusted to permit public display, it may be assumed </w:t>
      </w:r>
      <w:r w:rsidRPr="00677DB6">
        <w:rPr>
          <w:i/>
        </w:rPr>
        <w:t>not</w:t>
      </w:r>
      <w:r>
        <w:t xml:space="preserve"> to be suitable for public display.</w:t>
      </w:r>
    </w:p>
  </w:footnote>
  <w:footnote w:id="6">
    <w:p w:rsidR="00221CFC" w:rsidRDefault="00221CFC">
      <w:pPr>
        <w:pStyle w:val="FootnoteText"/>
      </w:pPr>
      <w:r>
        <w:rPr>
          <w:rStyle w:val="FootnoteReference"/>
        </w:rPr>
        <w:footnoteRef/>
      </w:r>
      <w:r>
        <w:t xml:space="preserve"> </w:t>
      </w:r>
      <w:r w:rsidR="00677DB6">
        <w:t xml:space="preserve">Starting on this date, </w:t>
      </w:r>
      <w:r>
        <w:t xml:space="preserve">all 678 fields in new and updated authority records were made part of a consistent </w:t>
      </w:r>
      <w:r w:rsidR="006418F0">
        <w:t xml:space="preserve">program </w:t>
      </w:r>
      <w:r>
        <w:t>of review. Any 678 fields in records created or updated since the institution of that review may be assumed to be suitable for public display.</w:t>
      </w:r>
    </w:p>
  </w:footnote>
  <w:footnote w:id="7">
    <w:p w:rsidR="00221CFC" w:rsidRDefault="00221CFC">
      <w:pPr>
        <w:pStyle w:val="FootnoteText"/>
      </w:pPr>
      <w:r>
        <w:rPr>
          <w:rStyle w:val="FootnoteReference"/>
        </w:rPr>
        <w:footnoteRef/>
      </w:r>
      <w:r>
        <w:t xml:space="preserve"> The 678 fields marked for deletion contained information fully redundant with information </w:t>
      </w:r>
      <w:r w:rsidR="00677DB6">
        <w:t xml:space="preserve">elsewhere in the </w:t>
      </w:r>
      <w:r>
        <w:t>670 fields.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B37"/>
    <w:multiLevelType w:val="hybridMultilevel"/>
    <w:tmpl w:val="9E0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A407C"/>
    <w:multiLevelType w:val="hybridMultilevel"/>
    <w:tmpl w:val="290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535C"/>
    <w:multiLevelType w:val="hybridMultilevel"/>
    <w:tmpl w:val="7D9C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E13A4"/>
    <w:multiLevelType w:val="hybridMultilevel"/>
    <w:tmpl w:val="630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7843"/>
    <w:multiLevelType w:val="hybridMultilevel"/>
    <w:tmpl w:val="EE8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B150C"/>
    <w:multiLevelType w:val="hybridMultilevel"/>
    <w:tmpl w:val="605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E2D37"/>
    <w:multiLevelType w:val="hybridMultilevel"/>
    <w:tmpl w:val="A074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490"/>
    <w:rsid w:val="00001DF5"/>
    <w:rsid w:val="0002539F"/>
    <w:rsid w:val="00033C36"/>
    <w:rsid w:val="00041939"/>
    <w:rsid w:val="00063C9A"/>
    <w:rsid w:val="00073D8C"/>
    <w:rsid w:val="0007585B"/>
    <w:rsid w:val="000F3153"/>
    <w:rsid w:val="001043A3"/>
    <w:rsid w:val="001A25AD"/>
    <w:rsid w:val="00221CFC"/>
    <w:rsid w:val="00242AF5"/>
    <w:rsid w:val="00262504"/>
    <w:rsid w:val="002671F5"/>
    <w:rsid w:val="002B46D3"/>
    <w:rsid w:val="003160AC"/>
    <w:rsid w:val="00331ACA"/>
    <w:rsid w:val="00341A13"/>
    <w:rsid w:val="00342160"/>
    <w:rsid w:val="00353597"/>
    <w:rsid w:val="003725A1"/>
    <w:rsid w:val="0038258D"/>
    <w:rsid w:val="003C4562"/>
    <w:rsid w:val="004171DE"/>
    <w:rsid w:val="004B1378"/>
    <w:rsid w:val="004D7459"/>
    <w:rsid w:val="004F48C5"/>
    <w:rsid w:val="00503695"/>
    <w:rsid w:val="0053152E"/>
    <w:rsid w:val="00556572"/>
    <w:rsid w:val="006418F0"/>
    <w:rsid w:val="00662314"/>
    <w:rsid w:val="0067095A"/>
    <w:rsid w:val="00677DB6"/>
    <w:rsid w:val="006936D1"/>
    <w:rsid w:val="006A33E6"/>
    <w:rsid w:val="006B5158"/>
    <w:rsid w:val="006D3AA0"/>
    <w:rsid w:val="007919CC"/>
    <w:rsid w:val="007B4773"/>
    <w:rsid w:val="007B71ED"/>
    <w:rsid w:val="008B13E4"/>
    <w:rsid w:val="008C089C"/>
    <w:rsid w:val="008D7414"/>
    <w:rsid w:val="008F69D8"/>
    <w:rsid w:val="009C3FF7"/>
    <w:rsid w:val="009E0E26"/>
    <w:rsid w:val="00A14985"/>
    <w:rsid w:val="00A23172"/>
    <w:rsid w:val="00A26BA2"/>
    <w:rsid w:val="00A5128A"/>
    <w:rsid w:val="00A62FF3"/>
    <w:rsid w:val="00A77142"/>
    <w:rsid w:val="00AA04A5"/>
    <w:rsid w:val="00AB580E"/>
    <w:rsid w:val="00AB5E53"/>
    <w:rsid w:val="00AC67D8"/>
    <w:rsid w:val="00AD3E29"/>
    <w:rsid w:val="00AE5B76"/>
    <w:rsid w:val="00AF594A"/>
    <w:rsid w:val="00B35983"/>
    <w:rsid w:val="00B91C6F"/>
    <w:rsid w:val="00BD6186"/>
    <w:rsid w:val="00BF277E"/>
    <w:rsid w:val="00CA5DF4"/>
    <w:rsid w:val="00CE6CC5"/>
    <w:rsid w:val="00D06AC3"/>
    <w:rsid w:val="00DB5C9D"/>
    <w:rsid w:val="00DD185E"/>
    <w:rsid w:val="00E02490"/>
    <w:rsid w:val="00E25213"/>
    <w:rsid w:val="00E80E3E"/>
    <w:rsid w:val="00E82B44"/>
    <w:rsid w:val="00F048AE"/>
    <w:rsid w:val="00F06280"/>
    <w:rsid w:val="00F363A9"/>
    <w:rsid w:val="00F45035"/>
    <w:rsid w:val="00F86D6A"/>
    <w:rsid w:val="00F910DE"/>
    <w:rsid w:val="00FA32E8"/>
    <w:rsid w:val="00FA3FAA"/>
    <w:rsid w:val="00FB15F3"/>
    <w:rsid w:val="00FD23B3"/>
    <w:rsid w:val="00FE0CF7"/>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paragraph" w:styleId="Heading1">
    <w:name w:val="heading 1"/>
    <w:basedOn w:val="Normal"/>
    <w:link w:val="Heading1Char"/>
    <w:uiPriority w:val="9"/>
    <w:qFormat/>
    <w:rsid w:val="00341A13"/>
    <w:pPr>
      <w:spacing w:before="100" w:beforeAutospacing="1" w:after="100" w:afterAutospacing="1" w:line="240" w:lineRule="auto"/>
      <w:jc w:val="center"/>
      <w:outlineLvl w:val="0"/>
    </w:pPr>
    <w:rPr>
      <w:rFonts w:ascii="Arial" w:eastAsia="Times New Roman" w:hAnsi="Arial" w:cs="Arial"/>
      <w:b/>
      <w:bCs/>
      <w:kern w:val="36"/>
      <w:sz w:val="32"/>
      <w:szCs w:val="32"/>
    </w:rPr>
  </w:style>
  <w:style w:type="paragraph" w:styleId="Heading3">
    <w:name w:val="heading 3"/>
    <w:basedOn w:val="Normal"/>
    <w:link w:val="Heading3Char"/>
    <w:uiPriority w:val="9"/>
    <w:qFormat/>
    <w:rsid w:val="00341A13"/>
    <w:pPr>
      <w:spacing w:before="15" w:after="15" w:line="240" w:lineRule="auto"/>
      <w:outlineLvl w:val="2"/>
    </w:pPr>
    <w:rPr>
      <w:rFonts w:eastAsia="Times New Roman"/>
      <w:b/>
      <w:bCs/>
      <w:sz w:val="26"/>
      <w:szCs w:val="26"/>
    </w:rPr>
  </w:style>
  <w:style w:type="paragraph" w:styleId="Heading4">
    <w:name w:val="heading 4"/>
    <w:basedOn w:val="Normal"/>
    <w:link w:val="Heading4Char"/>
    <w:uiPriority w:val="9"/>
    <w:qFormat/>
    <w:rsid w:val="00341A13"/>
    <w:pPr>
      <w:spacing w:before="120" w:after="120"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2490"/>
    <w:pPr>
      <w:spacing w:line="240" w:lineRule="auto"/>
    </w:pPr>
    <w:rPr>
      <w:szCs w:val="20"/>
    </w:rPr>
  </w:style>
  <w:style w:type="character" w:customStyle="1" w:styleId="FootnoteTextChar">
    <w:name w:val="Footnote Text Char"/>
    <w:basedOn w:val="DefaultParagraphFont"/>
    <w:link w:val="FootnoteText"/>
    <w:uiPriority w:val="99"/>
    <w:semiHidden/>
    <w:rsid w:val="00E02490"/>
    <w:rPr>
      <w:szCs w:val="20"/>
    </w:rPr>
  </w:style>
  <w:style w:type="character" w:styleId="FootnoteReference">
    <w:name w:val="footnote reference"/>
    <w:basedOn w:val="DefaultParagraphFont"/>
    <w:uiPriority w:val="99"/>
    <w:semiHidden/>
    <w:unhideWhenUsed/>
    <w:rsid w:val="00E02490"/>
    <w:rPr>
      <w:vertAlign w:val="superscript"/>
    </w:rPr>
  </w:style>
  <w:style w:type="character" w:styleId="Hyperlink">
    <w:name w:val="Hyperlink"/>
    <w:basedOn w:val="DefaultParagraphFont"/>
    <w:uiPriority w:val="99"/>
    <w:unhideWhenUsed/>
    <w:rsid w:val="00341A13"/>
    <w:rPr>
      <w:color w:val="0000FF" w:themeColor="hyperlink"/>
      <w:u w:val="single"/>
    </w:rPr>
  </w:style>
  <w:style w:type="character" w:customStyle="1" w:styleId="Heading1Char">
    <w:name w:val="Heading 1 Char"/>
    <w:basedOn w:val="DefaultParagraphFont"/>
    <w:link w:val="Heading1"/>
    <w:uiPriority w:val="9"/>
    <w:rsid w:val="00341A13"/>
    <w:rPr>
      <w:rFonts w:ascii="Arial" w:eastAsia="Times New Roman" w:hAnsi="Arial" w:cs="Arial"/>
      <w:b/>
      <w:bCs/>
      <w:kern w:val="36"/>
      <w:sz w:val="32"/>
      <w:szCs w:val="32"/>
    </w:rPr>
  </w:style>
  <w:style w:type="character" w:customStyle="1" w:styleId="Heading3Char">
    <w:name w:val="Heading 3 Char"/>
    <w:basedOn w:val="DefaultParagraphFont"/>
    <w:link w:val="Heading3"/>
    <w:uiPriority w:val="9"/>
    <w:rsid w:val="00341A13"/>
    <w:rPr>
      <w:rFonts w:eastAsia="Times New Roman"/>
      <w:b/>
      <w:bCs/>
      <w:sz w:val="26"/>
      <w:szCs w:val="26"/>
    </w:rPr>
  </w:style>
  <w:style w:type="character" w:customStyle="1" w:styleId="Heading4Char">
    <w:name w:val="Heading 4 Char"/>
    <w:basedOn w:val="DefaultParagraphFont"/>
    <w:link w:val="Heading4"/>
    <w:uiPriority w:val="9"/>
    <w:rsid w:val="00341A13"/>
    <w:rPr>
      <w:rFonts w:eastAsia="Times New Roman"/>
      <w:b/>
      <w:bCs/>
      <w:sz w:val="24"/>
      <w:szCs w:val="24"/>
    </w:rPr>
  </w:style>
  <w:style w:type="paragraph" w:styleId="NormalWeb">
    <w:name w:val="Normal (Web)"/>
    <w:basedOn w:val="Normal"/>
    <w:uiPriority w:val="99"/>
    <w:semiHidden/>
    <w:unhideWhenUsed/>
    <w:rsid w:val="00341A13"/>
    <w:pPr>
      <w:spacing w:before="100" w:beforeAutospacing="1" w:after="100" w:afterAutospacing="1" w:line="240" w:lineRule="auto"/>
      <w:ind w:left="480" w:right="480"/>
      <w:jc w:val="both"/>
    </w:pPr>
    <w:rPr>
      <w:rFonts w:eastAsia="Times New Roman"/>
      <w:sz w:val="24"/>
      <w:szCs w:val="24"/>
    </w:rPr>
  </w:style>
  <w:style w:type="character" w:styleId="Strong">
    <w:name w:val="Strong"/>
    <w:basedOn w:val="DefaultParagraphFont"/>
    <w:uiPriority w:val="22"/>
    <w:qFormat/>
    <w:rsid w:val="00341A13"/>
    <w:rPr>
      <w:b/>
      <w:bCs/>
    </w:rPr>
  </w:style>
  <w:style w:type="character" w:styleId="Emphasis">
    <w:name w:val="Emphasis"/>
    <w:basedOn w:val="DefaultParagraphFont"/>
    <w:uiPriority w:val="20"/>
    <w:qFormat/>
    <w:rsid w:val="00341A13"/>
    <w:rPr>
      <w:i/>
      <w:iCs/>
    </w:rPr>
  </w:style>
  <w:style w:type="character" w:customStyle="1" w:styleId="box1">
    <w:name w:val="box1"/>
    <w:basedOn w:val="DefaultParagraphFont"/>
    <w:rsid w:val="00341A13"/>
    <w:rPr>
      <w:rFonts w:ascii="ZapfDingbats" w:hAnsi="ZapfDingbats" w:hint="default"/>
    </w:rPr>
  </w:style>
  <w:style w:type="table" w:styleId="TableGrid">
    <w:name w:val="Table Grid"/>
    <w:basedOn w:val="TableNormal"/>
    <w:uiPriority w:val="59"/>
    <w:rsid w:val="006D3A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15F3"/>
    <w:pPr>
      <w:ind w:left="720"/>
      <w:contextualSpacing/>
    </w:pPr>
  </w:style>
</w:styles>
</file>

<file path=word/webSettings.xml><?xml version="1.0" encoding="utf-8"?>
<w:webSettings xmlns:r="http://schemas.openxmlformats.org/officeDocument/2006/relationships" xmlns:w="http://schemas.openxmlformats.org/wordprocessingml/2006/main">
  <w:divs>
    <w:div w:id="856430590">
      <w:bodyDiv w:val="1"/>
      <w:marLeft w:val="480"/>
      <w:marRight w:val="480"/>
      <w:marTop w:val="0"/>
      <w:marBottom w:val="0"/>
      <w:divBdr>
        <w:top w:val="none" w:sz="0" w:space="0" w:color="auto"/>
        <w:left w:val="none" w:sz="0" w:space="0" w:color="auto"/>
        <w:bottom w:val="none" w:sz="0" w:space="0" w:color="auto"/>
        <w:right w:val="none" w:sz="0" w:space="0" w:color="auto"/>
      </w:divBdr>
      <w:divsChild>
        <w:div w:id="1762724330">
          <w:marLeft w:val="120"/>
          <w:marRight w:val="0"/>
          <w:marTop w:val="0"/>
          <w:marBottom w:val="0"/>
          <w:divBdr>
            <w:top w:val="none" w:sz="0" w:space="0" w:color="auto"/>
            <w:left w:val="none" w:sz="0" w:space="0" w:color="auto"/>
            <w:bottom w:val="none" w:sz="0" w:space="0" w:color="auto"/>
            <w:right w:val="none" w:sz="0" w:space="0" w:color="auto"/>
          </w:divBdr>
        </w:div>
        <w:div w:id="227809952">
          <w:marLeft w:val="0"/>
          <w:marRight w:val="0"/>
          <w:marTop w:val="240"/>
          <w:marBottom w:val="240"/>
          <w:divBdr>
            <w:top w:val="none" w:sz="0" w:space="0" w:color="auto"/>
            <w:left w:val="none" w:sz="0" w:space="0" w:color="auto"/>
            <w:bottom w:val="none" w:sz="0" w:space="0" w:color="auto"/>
            <w:right w:val="none" w:sz="0" w:space="0" w:color="auto"/>
          </w:divBdr>
          <w:divsChild>
            <w:div w:id="545064781">
              <w:marLeft w:val="480"/>
              <w:marRight w:val="0"/>
              <w:marTop w:val="0"/>
              <w:marBottom w:val="0"/>
              <w:divBdr>
                <w:top w:val="none" w:sz="0" w:space="0" w:color="auto"/>
                <w:left w:val="none" w:sz="0" w:space="0" w:color="auto"/>
                <w:bottom w:val="none" w:sz="0" w:space="0" w:color="auto"/>
                <w:right w:val="none" w:sz="0" w:space="0" w:color="auto"/>
              </w:divBdr>
              <w:divsChild>
                <w:div w:id="1915966833">
                  <w:marLeft w:val="480"/>
                  <w:marRight w:val="0"/>
                  <w:marTop w:val="240"/>
                  <w:marBottom w:val="240"/>
                  <w:divBdr>
                    <w:top w:val="none" w:sz="0" w:space="0" w:color="auto"/>
                    <w:left w:val="none" w:sz="0" w:space="0" w:color="auto"/>
                    <w:bottom w:val="none" w:sz="0" w:space="0" w:color="auto"/>
                    <w:right w:val="none" w:sz="0" w:space="0" w:color="auto"/>
                  </w:divBdr>
                </w:div>
                <w:div w:id="1651248294">
                  <w:marLeft w:val="480"/>
                  <w:marRight w:val="0"/>
                  <w:marTop w:val="240"/>
                  <w:marBottom w:val="240"/>
                  <w:divBdr>
                    <w:top w:val="none" w:sz="0" w:space="0" w:color="auto"/>
                    <w:left w:val="none" w:sz="0" w:space="0" w:color="auto"/>
                    <w:bottom w:val="none" w:sz="0" w:space="0" w:color="auto"/>
                    <w:right w:val="none" w:sz="0" w:space="0" w:color="auto"/>
                  </w:divBdr>
                </w:div>
                <w:div w:id="638918299">
                  <w:marLeft w:val="480"/>
                  <w:marRight w:val="0"/>
                  <w:marTop w:val="240"/>
                  <w:marBottom w:val="240"/>
                  <w:divBdr>
                    <w:top w:val="none" w:sz="0" w:space="0" w:color="auto"/>
                    <w:left w:val="none" w:sz="0" w:space="0" w:color="auto"/>
                    <w:bottom w:val="none" w:sz="0" w:space="0" w:color="auto"/>
                    <w:right w:val="none" w:sz="0" w:space="0" w:color="auto"/>
                  </w:divBdr>
                  <w:divsChild>
                    <w:div w:id="198978547">
                      <w:marLeft w:val="480"/>
                      <w:marRight w:val="0"/>
                      <w:marTop w:val="0"/>
                      <w:marBottom w:val="0"/>
                      <w:divBdr>
                        <w:top w:val="none" w:sz="0" w:space="0" w:color="auto"/>
                        <w:left w:val="none" w:sz="0" w:space="0" w:color="auto"/>
                        <w:bottom w:val="none" w:sz="0" w:space="0" w:color="auto"/>
                        <w:right w:val="none" w:sz="0" w:space="0" w:color="auto"/>
                      </w:divBdr>
                      <w:divsChild>
                        <w:div w:id="127797990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0281">
          <w:marLeft w:val="0"/>
          <w:marRight w:val="0"/>
          <w:marTop w:val="240"/>
          <w:marBottom w:val="240"/>
          <w:divBdr>
            <w:top w:val="none" w:sz="0" w:space="0" w:color="auto"/>
            <w:left w:val="none" w:sz="0" w:space="0" w:color="auto"/>
            <w:bottom w:val="none" w:sz="0" w:space="0" w:color="auto"/>
            <w:right w:val="none" w:sz="0" w:space="0" w:color="auto"/>
          </w:divBdr>
          <w:divsChild>
            <w:div w:id="248078915">
              <w:marLeft w:val="480"/>
              <w:marRight w:val="0"/>
              <w:marTop w:val="0"/>
              <w:marBottom w:val="0"/>
              <w:divBdr>
                <w:top w:val="none" w:sz="0" w:space="0" w:color="auto"/>
                <w:left w:val="none" w:sz="0" w:space="0" w:color="auto"/>
                <w:bottom w:val="none" w:sz="0" w:space="0" w:color="auto"/>
                <w:right w:val="none" w:sz="0" w:space="0" w:color="auto"/>
              </w:divBdr>
            </w:div>
          </w:divsChild>
        </w:div>
        <w:div w:id="913321371">
          <w:marLeft w:val="480"/>
          <w:marRight w:val="0"/>
          <w:marTop w:val="240"/>
          <w:marBottom w:val="240"/>
          <w:divBdr>
            <w:top w:val="none" w:sz="0" w:space="0" w:color="auto"/>
            <w:left w:val="none" w:sz="0" w:space="0" w:color="auto"/>
            <w:bottom w:val="none" w:sz="0" w:space="0" w:color="auto"/>
            <w:right w:val="none" w:sz="0" w:space="0" w:color="auto"/>
          </w:divBdr>
          <w:divsChild>
            <w:div w:id="1891333650">
              <w:marLeft w:val="480"/>
              <w:marRight w:val="0"/>
              <w:marTop w:val="0"/>
              <w:marBottom w:val="0"/>
              <w:divBdr>
                <w:top w:val="none" w:sz="0" w:space="0" w:color="auto"/>
                <w:left w:val="none" w:sz="0" w:space="0" w:color="auto"/>
                <w:bottom w:val="none" w:sz="0" w:space="0" w:color="auto"/>
                <w:right w:val="none" w:sz="0" w:space="0" w:color="auto"/>
              </w:divBdr>
            </w:div>
            <w:div w:id="1152676846">
              <w:marLeft w:val="960"/>
              <w:marRight w:val="0"/>
              <w:marTop w:val="0"/>
              <w:marBottom w:val="0"/>
              <w:divBdr>
                <w:top w:val="none" w:sz="0" w:space="0" w:color="auto"/>
                <w:left w:val="none" w:sz="0" w:space="0" w:color="auto"/>
                <w:bottom w:val="none" w:sz="0" w:space="0" w:color="auto"/>
                <w:right w:val="none" w:sz="0" w:space="0" w:color="auto"/>
              </w:divBdr>
            </w:div>
          </w:divsChild>
        </w:div>
        <w:div w:id="1472941992">
          <w:marLeft w:val="480"/>
          <w:marRight w:val="0"/>
          <w:marTop w:val="240"/>
          <w:marBottom w:val="240"/>
          <w:divBdr>
            <w:top w:val="none" w:sz="0" w:space="0" w:color="auto"/>
            <w:left w:val="none" w:sz="0" w:space="0" w:color="auto"/>
            <w:bottom w:val="none" w:sz="0" w:space="0" w:color="auto"/>
            <w:right w:val="none" w:sz="0" w:space="0" w:color="auto"/>
          </w:divBdr>
          <w:divsChild>
            <w:div w:id="890504905">
              <w:marLeft w:val="480"/>
              <w:marRight w:val="0"/>
              <w:marTop w:val="0"/>
              <w:marBottom w:val="0"/>
              <w:divBdr>
                <w:top w:val="none" w:sz="0" w:space="0" w:color="auto"/>
                <w:left w:val="none" w:sz="0" w:space="0" w:color="auto"/>
                <w:bottom w:val="none" w:sz="0" w:space="0" w:color="auto"/>
                <w:right w:val="none" w:sz="0" w:space="0" w:color="auto"/>
              </w:divBdr>
            </w:div>
            <w:div w:id="1308514923">
              <w:marLeft w:val="960"/>
              <w:marRight w:val="0"/>
              <w:marTop w:val="0"/>
              <w:marBottom w:val="0"/>
              <w:divBdr>
                <w:top w:val="none" w:sz="0" w:space="0" w:color="auto"/>
                <w:left w:val="none" w:sz="0" w:space="0" w:color="auto"/>
                <w:bottom w:val="none" w:sz="0" w:space="0" w:color="auto"/>
                <w:right w:val="none" w:sz="0" w:space="0" w:color="auto"/>
              </w:divBdr>
            </w:div>
          </w:divsChild>
        </w:div>
        <w:div w:id="623921784">
          <w:marLeft w:val="480"/>
          <w:marRight w:val="0"/>
          <w:marTop w:val="240"/>
          <w:marBottom w:val="240"/>
          <w:divBdr>
            <w:top w:val="none" w:sz="0" w:space="0" w:color="auto"/>
            <w:left w:val="none" w:sz="0" w:space="0" w:color="auto"/>
            <w:bottom w:val="none" w:sz="0" w:space="0" w:color="auto"/>
            <w:right w:val="none" w:sz="0" w:space="0" w:color="auto"/>
          </w:divBdr>
          <w:divsChild>
            <w:div w:id="1854412935">
              <w:marLeft w:val="480"/>
              <w:marRight w:val="0"/>
              <w:marTop w:val="0"/>
              <w:marBottom w:val="0"/>
              <w:divBdr>
                <w:top w:val="none" w:sz="0" w:space="0" w:color="auto"/>
                <w:left w:val="none" w:sz="0" w:space="0" w:color="auto"/>
                <w:bottom w:val="none" w:sz="0" w:space="0" w:color="auto"/>
                <w:right w:val="none" w:sz="0" w:space="0" w:color="auto"/>
              </w:divBdr>
            </w:div>
            <w:div w:id="331685120">
              <w:marLeft w:val="960"/>
              <w:marRight w:val="0"/>
              <w:marTop w:val="0"/>
              <w:marBottom w:val="0"/>
              <w:divBdr>
                <w:top w:val="none" w:sz="0" w:space="0" w:color="auto"/>
                <w:left w:val="none" w:sz="0" w:space="0" w:color="auto"/>
                <w:bottom w:val="none" w:sz="0" w:space="0" w:color="auto"/>
                <w:right w:val="none" w:sz="0" w:space="0" w:color="auto"/>
              </w:divBdr>
            </w:div>
          </w:divsChild>
        </w:div>
        <w:div w:id="77598567">
          <w:marLeft w:val="480"/>
          <w:marRight w:val="0"/>
          <w:marTop w:val="240"/>
          <w:marBottom w:val="240"/>
          <w:divBdr>
            <w:top w:val="none" w:sz="0" w:space="0" w:color="auto"/>
            <w:left w:val="none" w:sz="0" w:space="0" w:color="auto"/>
            <w:bottom w:val="none" w:sz="0" w:space="0" w:color="auto"/>
            <w:right w:val="none" w:sz="0" w:space="0" w:color="auto"/>
          </w:divBdr>
          <w:divsChild>
            <w:div w:id="1872300089">
              <w:marLeft w:val="480"/>
              <w:marRight w:val="0"/>
              <w:marTop w:val="0"/>
              <w:marBottom w:val="0"/>
              <w:divBdr>
                <w:top w:val="none" w:sz="0" w:space="0" w:color="auto"/>
                <w:left w:val="none" w:sz="0" w:space="0" w:color="auto"/>
                <w:bottom w:val="none" w:sz="0" w:space="0" w:color="auto"/>
                <w:right w:val="none" w:sz="0" w:space="0" w:color="auto"/>
              </w:divBdr>
            </w:div>
          </w:divsChild>
        </w:div>
        <w:div w:id="651642719">
          <w:marLeft w:val="480"/>
          <w:marRight w:val="0"/>
          <w:marTop w:val="240"/>
          <w:marBottom w:val="240"/>
          <w:divBdr>
            <w:top w:val="none" w:sz="0" w:space="0" w:color="auto"/>
            <w:left w:val="none" w:sz="0" w:space="0" w:color="auto"/>
            <w:bottom w:val="none" w:sz="0" w:space="0" w:color="auto"/>
            <w:right w:val="none" w:sz="0" w:space="0" w:color="auto"/>
          </w:divBdr>
          <w:divsChild>
            <w:div w:id="1596472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marc/authority/ecadcnt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gov/marc/authority/ecadcntf.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gov/marc/authority/ad6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A3E7-843E-4126-A790-47548E52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25</cp:revision>
  <dcterms:created xsi:type="dcterms:W3CDTF">2014-03-22T15:44:00Z</dcterms:created>
  <dcterms:modified xsi:type="dcterms:W3CDTF">2014-12-07T16:21:00Z</dcterms:modified>
</cp:coreProperties>
</file>